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87C" w:rsidRPr="00AD00D6" w:rsidRDefault="00376190" w:rsidP="000B3606">
      <w:pPr>
        <w:pStyle w:val="Authors"/>
        <w:framePr w:w="9072" w:hSpace="187" w:vSpace="187" w:wrap="notBeside" w:vAnchor="text" w:hAnchor="page" w:x="1387" w:y="-82"/>
        <w:spacing w:after="20"/>
        <w:rPr>
          <w:bCs/>
          <w:color w:val="000000" w:themeColor="text1"/>
          <w:sz w:val="48"/>
          <w:szCs w:val="48"/>
          <w:lang w:eastAsia="zh-CN"/>
        </w:rPr>
      </w:pPr>
      <w:r>
        <w:rPr>
          <w:bCs/>
          <w:color w:val="000000" w:themeColor="text1"/>
          <w:sz w:val="48"/>
          <w:szCs w:val="48"/>
          <w:lang w:eastAsia="zh-CN"/>
        </w:rPr>
        <w:t>Ultra-wideband</w:t>
      </w:r>
      <w:r w:rsidR="00437E18">
        <w:rPr>
          <w:bCs/>
          <w:color w:val="000000" w:themeColor="text1"/>
          <w:sz w:val="48"/>
          <w:szCs w:val="48"/>
          <w:lang w:eastAsia="zh-CN"/>
        </w:rPr>
        <w:t xml:space="preserve"> mm-Wave</w:t>
      </w:r>
      <w:r w:rsidR="00925025">
        <w:rPr>
          <w:bCs/>
          <w:color w:val="000000" w:themeColor="text1"/>
          <w:sz w:val="48"/>
          <w:szCs w:val="48"/>
          <w:lang w:eastAsia="zh-CN"/>
        </w:rPr>
        <w:t xml:space="preserve"> </w:t>
      </w:r>
      <w:proofErr w:type="spellStart"/>
      <w:proofErr w:type="gramStart"/>
      <w:r w:rsidR="00925025">
        <w:rPr>
          <w:bCs/>
          <w:color w:val="000000" w:themeColor="text1"/>
          <w:sz w:val="48"/>
          <w:szCs w:val="48"/>
          <w:lang w:eastAsia="zh-CN"/>
        </w:rPr>
        <w:t>InP</w:t>
      </w:r>
      <w:proofErr w:type="spellEnd"/>
      <w:proofErr w:type="gramEnd"/>
      <w:r w:rsidR="00925025">
        <w:rPr>
          <w:bCs/>
          <w:color w:val="000000" w:themeColor="text1"/>
          <w:sz w:val="48"/>
          <w:szCs w:val="48"/>
          <w:lang w:eastAsia="zh-CN"/>
        </w:rPr>
        <w:t xml:space="preserve"> Power Amplifiers in 130</w:t>
      </w:r>
      <w:r w:rsidR="00F416BC">
        <w:rPr>
          <w:bCs/>
          <w:color w:val="000000" w:themeColor="text1"/>
          <w:sz w:val="48"/>
          <w:szCs w:val="48"/>
          <w:lang w:eastAsia="zh-CN"/>
        </w:rPr>
        <w:t xml:space="preserve"> </w:t>
      </w:r>
      <w:r w:rsidR="00925025">
        <w:rPr>
          <w:bCs/>
          <w:color w:val="000000" w:themeColor="text1"/>
          <w:sz w:val="48"/>
          <w:szCs w:val="48"/>
          <w:lang w:eastAsia="zh-CN"/>
        </w:rPr>
        <w:t xml:space="preserve">nm </w:t>
      </w:r>
      <w:proofErr w:type="spellStart"/>
      <w:r w:rsidR="00925025">
        <w:rPr>
          <w:bCs/>
          <w:color w:val="000000" w:themeColor="text1"/>
          <w:sz w:val="48"/>
          <w:szCs w:val="48"/>
          <w:lang w:eastAsia="zh-CN"/>
        </w:rPr>
        <w:t>InP</w:t>
      </w:r>
      <w:proofErr w:type="spellEnd"/>
      <w:r w:rsidR="00925025">
        <w:rPr>
          <w:bCs/>
          <w:color w:val="000000" w:themeColor="text1"/>
          <w:sz w:val="48"/>
          <w:szCs w:val="48"/>
          <w:lang w:eastAsia="zh-CN"/>
        </w:rPr>
        <w:t xml:space="preserve"> HBT Technology</w:t>
      </w:r>
    </w:p>
    <w:p w:rsidR="000E087C" w:rsidRPr="000361D7" w:rsidRDefault="00925025" w:rsidP="000B3606">
      <w:pPr>
        <w:pStyle w:val="Authors"/>
        <w:framePr w:w="9072" w:hSpace="187" w:vSpace="187" w:wrap="notBeside" w:vAnchor="text" w:hAnchor="page" w:x="1387" w:y="-82"/>
        <w:spacing w:after="20"/>
        <w:rPr>
          <w:color w:val="000000" w:themeColor="text1"/>
          <w:sz w:val="24"/>
          <w:szCs w:val="24"/>
          <w:vertAlign w:val="superscript"/>
        </w:rPr>
      </w:pPr>
      <w:r w:rsidRPr="000361D7">
        <w:rPr>
          <w:color w:val="000000" w:themeColor="text1"/>
          <w:sz w:val="24"/>
          <w:szCs w:val="24"/>
        </w:rPr>
        <w:t>Robert Maurer</w:t>
      </w:r>
      <w:r w:rsidR="003A6F56" w:rsidRPr="000361D7">
        <w:rPr>
          <w:color w:val="000000" w:themeColor="text1"/>
          <w:sz w:val="24"/>
          <w:szCs w:val="24"/>
          <w:vertAlign w:val="superscript"/>
        </w:rPr>
        <w:t>1</w:t>
      </w:r>
      <w:r w:rsidRPr="000361D7">
        <w:rPr>
          <w:color w:val="000000" w:themeColor="text1"/>
          <w:sz w:val="24"/>
          <w:szCs w:val="24"/>
        </w:rPr>
        <w:t xml:space="preserve">, </w:t>
      </w:r>
      <w:proofErr w:type="spellStart"/>
      <w:r w:rsidRPr="000361D7">
        <w:rPr>
          <w:color w:val="000000" w:themeColor="text1"/>
          <w:sz w:val="24"/>
          <w:szCs w:val="24"/>
        </w:rPr>
        <w:t>Seong</w:t>
      </w:r>
      <w:r w:rsidR="00BB5926">
        <w:rPr>
          <w:color w:val="000000" w:themeColor="text1"/>
          <w:sz w:val="24"/>
          <w:szCs w:val="24"/>
        </w:rPr>
        <w:t>-</w:t>
      </w:r>
      <w:r w:rsidR="00E33127">
        <w:rPr>
          <w:color w:val="000000" w:themeColor="text1"/>
          <w:sz w:val="24"/>
          <w:szCs w:val="24"/>
        </w:rPr>
        <w:t>K</w:t>
      </w:r>
      <w:bookmarkStart w:id="0" w:name="_GoBack"/>
      <w:bookmarkEnd w:id="0"/>
      <w:r w:rsidRPr="000361D7">
        <w:rPr>
          <w:color w:val="000000" w:themeColor="text1"/>
          <w:sz w:val="24"/>
          <w:szCs w:val="24"/>
        </w:rPr>
        <w:t>yun</w:t>
      </w:r>
      <w:proofErr w:type="spellEnd"/>
      <w:r w:rsidRPr="000361D7">
        <w:rPr>
          <w:color w:val="000000" w:themeColor="text1"/>
          <w:sz w:val="24"/>
          <w:szCs w:val="24"/>
        </w:rPr>
        <w:t xml:space="preserve"> Kim</w:t>
      </w:r>
      <w:r w:rsidR="003A6F56" w:rsidRPr="000361D7">
        <w:rPr>
          <w:color w:val="000000" w:themeColor="text1"/>
          <w:sz w:val="24"/>
          <w:szCs w:val="24"/>
          <w:vertAlign w:val="superscript"/>
        </w:rPr>
        <w:t>1</w:t>
      </w:r>
      <w:r w:rsidRPr="000361D7">
        <w:rPr>
          <w:color w:val="000000" w:themeColor="text1"/>
          <w:sz w:val="24"/>
          <w:szCs w:val="24"/>
        </w:rPr>
        <w:t>, Miguel Urteaga</w:t>
      </w:r>
      <w:r w:rsidR="003A6F56" w:rsidRPr="000361D7">
        <w:rPr>
          <w:color w:val="000000" w:themeColor="text1"/>
          <w:sz w:val="24"/>
          <w:szCs w:val="24"/>
          <w:vertAlign w:val="superscript"/>
        </w:rPr>
        <w:t>2</w:t>
      </w:r>
      <w:r w:rsidRPr="000361D7">
        <w:rPr>
          <w:color w:val="000000" w:themeColor="text1"/>
          <w:sz w:val="24"/>
          <w:szCs w:val="24"/>
        </w:rPr>
        <w:t>,</w:t>
      </w:r>
      <w:r w:rsidR="003A6F56" w:rsidRPr="000361D7">
        <w:rPr>
          <w:color w:val="000000" w:themeColor="text1"/>
          <w:sz w:val="24"/>
          <w:szCs w:val="24"/>
        </w:rPr>
        <w:t xml:space="preserve"> </w:t>
      </w:r>
      <w:r w:rsidR="00335FBC" w:rsidRPr="000361D7">
        <w:rPr>
          <w:color w:val="000000" w:themeColor="text1"/>
          <w:sz w:val="24"/>
          <w:szCs w:val="24"/>
          <w:lang w:eastAsia="zh-CN"/>
        </w:rPr>
        <w:t xml:space="preserve">and </w:t>
      </w:r>
      <w:r w:rsidR="00335FBC" w:rsidRPr="000361D7">
        <w:rPr>
          <w:color w:val="000000" w:themeColor="text1"/>
          <w:sz w:val="24"/>
          <w:szCs w:val="24"/>
        </w:rPr>
        <w:t>M</w:t>
      </w:r>
      <w:r w:rsidR="00335FBC" w:rsidRPr="000361D7">
        <w:rPr>
          <w:rFonts w:hint="eastAsia"/>
          <w:color w:val="000000" w:themeColor="text1"/>
          <w:sz w:val="24"/>
          <w:szCs w:val="24"/>
          <w:lang w:eastAsia="zh-CN"/>
        </w:rPr>
        <w:t>ark</w:t>
      </w:r>
      <w:r w:rsidR="00335FBC" w:rsidRPr="000361D7">
        <w:rPr>
          <w:color w:val="000000" w:themeColor="text1"/>
          <w:sz w:val="24"/>
          <w:szCs w:val="24"/>
        </w:rPr>
        <w:t>.</w:t>
      </w:r>
      <w:r w:rsidR="00335FBC" w:rsidRPr="000361D7">
        <w:rPr>
          <w:rFonts w:hint="eastAsia"/>
          <w:color w:val="000000" w:themeColor="text1"/>
          <w:sz w:val="24"/>
          <w:szCs w:val="24"/>
          <w:lang w:eastAsia="zh-CN"/>
        </w:rPr>
        <w:t xml:space="preserve"> </w:t>
      </w:r>
      <w:r w:rsidR="00CE2D6C" w:rsidRPr="000361D7">
        <w:rPr>
          <w:color w:val="000000" w:themeColor="text1"/>
          <w:sz w:val="24"/>
          <w:szCs w:val="24"/>
        </w:rPr>
        <w:t>J.W.</w:t>
      </w:r>
      <w:r w:rsidR="003A6F56" w:rsidRPr="000361D7">
        <w:rPr>
          <w:color w:val="000000" w:themeColor="text1"/>
          <w:sz w:val="24"/>
          <w:szCs w:val="24"/>
        </w:rPr>
        <w:t xml:space="preserve"> Rodwell</w:t>
      </w:r>
      <w:r w:rsidR="003A6F56" w:rsidRPr="000361D7">
        <w:rPr>
          <w:color w:val="000000" w:themeColor="text1"/>
          <w:sz w:val="24"/>
          <w:szCs w:val="24"/>
          <w:vertAlign w:val="superscript"/>
        </w:rPr>
        <w:t>1</w:t>
      </w:r>
    </w:p>
    <w:p w:rsidR="003A6F56" w:rsidRPr="003A6F56" w:rsidRDefault="003A6F56" w:rsidP="003A6F56">
      <w:pPr>
        <w:framePr w:w="9072" w:hSpace="187" w:vSpace="187" w:wrap="notBeside" w:vAnchor="text" w:hAnchor="page" w:x="1387" w:y="-82"/>
      </w:pPr>
    </w:p>
    <w:p w:rsidR="003A6F56" w:rsidRDefault="003A6F56" w:rsidP="000361D7">
      <w:pPr>
        <w:framePr w:w="9072" w:hSpace="187" w:vSpace="187" w:wrap="notBeside" w:vAnchor="text" w:hAnchor="page" w:x="1387" w:y="-82"/>
        <w:spacing w:after="0"/>
        <w:jc w:val="center"/>
        <w:rPr>
          <w:sz w:val="24"/>
          <w:szCs w:val="24"/>
        </w:rPr>
      </w:pPr>
      <w:r w:rsidRPr="000361D7">
        <w:rPr>
          <w:sz w:val="24"/>
          <w:szCs w:val="24"/>
          <w:vertAlign w:val="superscript"/>
        </w:rPr>
        <w:t>1</w:t>
      </w:r>
      <w:r w:rsidRPr="000361D7">
        <w:rPr>
          <w:sz w:val="24"/>
          <w:szCs w:val="24"/>
        </w:rPr>
        <w:t>ECE Department, University of California at Santa Barbara, Santa Barbara, CA, 93106, USA</w:t>
      </w:r>
    </w:p>
    <w:p w:rsidR="000361D7" w:rsidRPr="000361D7" w:rsidRDefault="000361D7" w:rsidP="000361D7">
      <w:pPr>
        <w:framePr w:w="9072" w:hSpace="187" w:vSpace="187" w:wrap="notBeside" w:vAnchor="text" w:hAnchor="page" w:x="1387" w:y="-82"/>
        <w:spacing w:after="0"/>
        <w:jc w:val="center"/>
        <w:rPr>
          <w:sz w:val="24"/>
          <w:szCs w:val="24"/>
        </w:rPr>
      </w:pPr>
      <w:r>
        <w:rPr>
          <w:sz w:val="24"/>
          <w:szCs w:val="24"/>
          <w:vertAlign w:val="superscript"/>
        </w:rPr>
        <w:t>2</w:t>
      </w:r>
      <w:r>
        <w:rPr>
          <w:sz w:val="24"/>
          <w:szCs w:val="24"/>
        </w:rPr>
        <w:t>Teledyne Scientific and Imaging, 1049 Camino Dos Rios, Thousand Oaks, CA, 91360, USA</w:t>
      </w:r>
    </w:p>
    <w:p w:rsidR="000E087C" w:rsidRPr="00AD00D6" w:rsidRDefault="00335FBC" w:rsidP="00E77743">
      <w:pPr>
        <w:pStyle w:val="Abstract"/>
        <w:spacing w:after="20"/>
        <w:rPr>
          <w:rFonts w:eastAsia="SimHei"/>
          <w:color w:val="000000" w:themeColor="text1"/>
          <w:kern w:val="2"/>
          <w:szCs w:val="20"/>
        </w:rPr>
      </w:pPr>
      <w:r w:rsidRPr="00AD00D6">
        <w:rPr>
          <w:i/>
          <w:iCs/>
          <w:color w:val="000000" w:themeColor="text1"/>
        </w:rPr>
        <w:t>Abstract</w:t>
      </w:r>
      <w:r w:rsidRPr="00AD00D6">
        <w:rPr>
          <w:color w:val="000000" w:themeColor="text1"/>
        </w:rPr>
        <w:t>—</w:t>
      </w:r>
      <w:bookmarkStart w:id="1" w:name="PointTmp"/>
      <w:r w:rsidRPr="00AD00D6">
        <w:rPr>
          <w:color w:val="000000" w:themeColor="text1"/>
        </w:rPr>
        <w:t xml:space="preserve"> </w:t>
      </w:r>
      <w:proofErr w:type="gramStart"/>
      <w:r w:rsidR="00925025">
        <w:rPr>
          <w:color w:val="000000" w:themeColor="text1"/>
        </w:rPr>
        <w:t>We</w:t>
      </w:r>
      <w:proofErr w:type="gramEnd"/>
      <w:r w:rsidR="00925025">
        <w:rPr>
          <w:color w:val="000000" w:themeColor="text1"/>
        </w:rPr>
        <w:t xml:space="preserve"> present power amplifier ICs </w:t>
      </w:r>
      <w:r w:rsidR="00376190">
        <w:rPr>
          <w:color w:val="000000" w:themeColor="text1"/>
        </w:rPr>
        <w:t>with a small-signal measured</w:t>
      </w:r>
      <w:r w:rsidR="009B0032">
        <w:rPr>
          <w:color w:val="000000" w:themeColor="text1"/>
        </w:rPr>
        <w:t xml:space="preserve"> 3dB-bandwidth spanning from 24</w:t>
      </w:r>
      <w:r w:rsidR="006E1298">
        <w:rPr>
          <w:color w:val="000000" w:themeColor="text1"/>
        </w:rPr>
        <w:t xml:space="preserve"> </w:t>
      </w:r>
      <w:r w:rsidR="009B0032">
        <w:rPr>
          <w:color w:val="000000" w:themeColor="text1"/>
        </w:rPr>
        <w:t>GHz to 114</w:t>
      </w:r>
      <w:r w:rsidR="006E1298">
        <w:rPr>
          <w:color w:val="000000" w:themeColor="text1"/>
        </w:rPr>
        <w:t xml:space="preserve"> </w:t>
      </w:r>
      <w:r w:rsidR="00925025">
        <w:rPr>
          <w:color w:val="000000" w:themeColor="text1"/>
        </w:rPr>
        <w:t>GHz</w:t>
      </w:r>
      <w:r w:rsidR="00655461">
        <w:rPr>
          <w:color w:val="000000" w:themeColor="text1"/>
        </w:rPr>
        <w:t>,</w:t>
      </w:r>
      <w:r w:rsidR="00925025">
        <w:rPr>
          <w:color w:val="000000" w:themeColor="text1"/>
        </w:rPr>
        <w:t xml:space="preserve"> implemented in a 130</w:t>
      </w:r>
      <w:r w:rsidR="006E1298">
        <w:rPr>
          <w:color w:val="000000" w:themeColor="text1"/>
        </w:rPr>
        <w:t xml:space="preserve"> </w:t>
      </w:r>
      <w:r w:rsidR="00925025">
        <w:rPr>
          <w:color w:val="000000" w:themeColor="text1"/>
        </w:rPr>
        <w:t xml:space="preserve">nm </w:t>
      </w:r>
      <w:proofErr w:type="spellStart"/>
      <w:r w:rsidR="00925025">
        <w:rPr>
          <w:color w:val="000000" w:themeColor="text1"/>
        </w:rPr>
        <w:t>InP</w:t>
      </w:r>
      <w:proofErr w:type="spellEnd"/>
      <w:r w:rsidR="00925025">
        <w:rPr>
          <w:color w:val="000000" w:themeColor="text1"/>
        </w:rPr>
        <w:t xml:space="preserve"> HBT process.  The PAs were designed using sub-quarter wavelength transmission-line </w:t>
      </w:r>
      <w:proofErr w:type="spellStart"/>
      <w:r w:rsidR="00925025">
        <w:rPr>
          <w:color w:val="000000" w:themeColor="text1"/>
        </w:rPr>
        <w:t>baluns</w:t>
      </w:r>
      <w:proofErr w:type="spellEnd"/>
      <w:r w:rsidR="00925025">
        <w:rPr>
          <w:color w:val="000000" w:themeColor="text1"/>
        </w:rPr>
        <w:t xml:space="preserve"> for output match</w:t>
      </w:r>
      <w:r w:rsidR="006A7861">
        <w:rPr>
          <w:color w:val="000000" w:themeColor="text1"/>
        </w:rPr>
        <w:t>ing and series power co</w:t>
      </w:r>
      <w:r w:rsidR="00655461">
        <w:rPr>
          <w:color w:val="000000" w:themeColor="text1"/>
        </w:rPr>
        <w:t>mbining.  The small signal gain is 15</w:t>
      </w:r>
      <w:r w:rsidR="00C83269">
        <w:rPr>
          <w:color w:val="000000" w:themeColor="text1"/>
        </w:rPr>
        <w:t xml:space="preserve"> </w:t>
      </w:r>
      <w:r w:rsidR="00655461">
        <w:rPr>
          <w:color w:val="000000" w:themeColor="text1"/>
        </w:rPr>
        <w:t xml:space="preserve">dB and the DC power consumption is 800 </w:t>
      </w:r>
      <w:proofErr w:type="spellStart"/>
      <w:r w:rsidR="00655461">
        <w:rPr>
          <w:color w:val="000000" w:themeColor="text1"/>
        </w:rPr>
        <w:t>mW</w:t>
      </w:r>
      <w:proofErr w:type="spellEnd"/>
      <w:r w:rsidR="00655461">
        <w:rPr>
          <w:color w:val="000000" w:themeColor="text1"/>
        </w:rPr>
        <w:t xml:space="preserve"> in low power operation.  The measured</w:t>
      </w:r>
      <w:r w:rsidR="006A7861">
        <w:rPr>
          <w:color w:val="000000" w:themeColor="text1"/>
        </w:rPr>
        <w:t xml:space="preserve"> output power </w:t>
      </w:r>
      <w:r w:rsidR="00655461">
        <w:rPr>
          <w:color w:val="000000" w:themeColor="text1"/>
        </w:rPr>
        <w:t>at 3</w:t>
      </w:r>
      <w:r w:rsidR="007C40F6">
        <w:rPr>
          <w:color w:val="000000" w:themeColor="text1"/>
        </w:rPr>
        <w:t>-</w:t>
      </w:r>
      <w:r w:rsidR="00655461">
        <w:rPr>
          <w:color w:val="000000" w:themeColor="text1"/>
        </w:rPr>
        <w:t>dB gain-compression varies between 16</w:t>
      </w:r>
      <w:r w:rsidR="006A7861">
        <w:rPr>
          <w:color w:val="000000" w:themeColor="text1"/>
        </w:rPr>
        <w:t xml:space="preserve">.5 </w:t>
      </w:r>
      <w:proofErr w:type="spellStart"/>
      <w:r w:rsidR="006A7861">
        <w:rPr>
          <w:color w:val="000000" w:themeColor="text1"/>
        </w:rPr>
        <w:t>dB</w:t>
      </w:r>
      <w:r w:rsidR="00317611">
        <w:rPr>
          <w:color w:val="000000" w:themeColor="text1"/>
        </w:rPr>
        <w:t>m</w:t>
      </w:r>
      <w:proofErr w:type="spellEnd"/>
      <w:r w:rsidR="00317611">
        <w:rPr>
          <w:color w:val="000000" w:themeColor="text1"/>
        </w:rPr>
        <w:t xml:space="preserve"> </w:t>
      </w:r>
      <w:r w:rsidR="00655461">
        <w:rPr>
          <w:color w:val="000000" w:themeColor="text1"/>
        </w:rPr>
        <w:t>and 22dBm between 50 GHz and 100 GHz.  T</w:t>
      </w:r>
      <w:r w:rsidR="00317611">
        <w:rPr>
          <w:color w:val="000000" w:themeColor="text1"/>
        </w:rPr>
        <w:t>he</w:t>
      </w:r>
      <w:r w:rsidR="00655461">
        <w:rPr>
          <w:color w:val="000000" w:themeColor="text1"/>
        </w:rPr>
        <w:t xml:space="preserve"> peak</w:t>
      </w:r>
      <w:r w:rsidR="00317611">
        <w:rPr>
          <w:color w:val="000000" w:themeColor="text1"/>
        </w:rPr>
        <w:t xml:space="preserve"> PAE is larger than 8</w:t>
      </w:r>
      <w:r w:rsidR="00655461">
        <w:rPr>
          <w:color w:val="000000" w:themeColor="text1"/>
        </w:rPr>
        <w:t xml:space="preserve"> % over the same range</w:t>
      </w:r>
      <w:r w:rsidR="006A7861">
        <w:rPr>
          <w:color w:val="000000" w:themeColor="text1"/>
        </w:rPr>
        <w:t>.  The saturated output power and PAE at 90</w:t>
      </w:r>
      <w:r w:rsidR="006F139D">
        <w:rPr>
          <w:color w:val="000000" w:themeColor="text1"/>
        </w:rPr>
        <w:t xml:space="preserve"> </w:t>
      </w:r>
      <w:r w:rsidR="006A7861">
        <w:rPr>
          <w:color w:val="000000" w:themeColor="text1"/>
        </w:rPr>
        <w:t>GHz ar</w:t>
      </w:r>
      <w:r w:rsidR="00655461">
        <w:rPr>
          <w:color w:val="000000" w:themeColor="text1"/>
        </w:rPr>
        <w:t>e 2</w:t>
      </w:r>
      <w:r w:rsidR="00E55AF4">
        <w:rPr>
          <w:color w:val="000000" w:themeColor="text1"/>
        </w:rPr>
        <w:t>1.95</w:t>
      </w:r>
      <w:r w:rsidR="006A7861">
        <w:rPr>
          <w:color w:val="000000" w:themeColor="text1"/>
        </w:rPr>
        <w:t xml:space="preserve"> </w:t>
      </w:r>
      <w:proofErr w:type="spellStart"/>
      <w:r w:rsidR="006A7861">
        <w:rPr>
          <w:color w:val="000000" w:themeColor="text1"/>
        </w:rPr>
        <w:t>dBm</w:t>
      </w:r>
      <w:proofErr w:type="spellEnd"/>
      <w:r w:rsidR="006A7861">
        <w:rPr>
          <w:color w:val="000000" w:themeColor="text1"/>
        </w:rPr>
        <w:t xml:space="preserve"> and </w:t>
      </w:r>
      <w:r w:rsidR="00E55AF4">
        <w:rPr>
          <w:color w:val="000000" w:themeColor="text1"/>
        </w:rPr>
        <w:t>14.7</w:t>
      </w:r>
      <w:r w:rsidR="00317611">
        <w:rPr>
          <w:color w:val="000000" w:themeColor="text1"/>
        </w:rPr>
        <w:t xml:space="preserve"> %</w:t>
      </w:r>
      <w:r w:rsidR="00655461">
        <w:rPr>
          <w:color w:val="000000" w:themeColor="text1"/>
        </w:rPr>
        <w:t xml:space="preserve"> respectively. </w:t>
      </w:r>
    </w:p>
    <w:p w:rsidR="000E087C" w:rsidRPr="00AD00D6" w:rsidRDefault="00335FBC">
      <w:pPr>
        <w:pStyle w:val="Abstract"/>
        <w:spacing w:after="20"/>
        <w:rPr>
          <w:color w:val="000000" w:themeColor="text1"/>
          <w:lang w:eastAsia="zh-CN"/>
        </w:rPr>
      </w:pPr>
      <w:r w:rsidRPr="00AD00D6">
        <w:rPr>
          <w:i/>
          <w:iCs/>
          <w:color w:val="000000" w:themeColor="text1"/>
        </w:rPr>
        <w:t>Index Terms</w:t>
      </w:r>
      <w:r w:rsidRPr="00AD00D6">
        <w:rPr>
          <w:color w:val="000000" w:themeColor="text1"/>
        </w:rPr>
        <w:t>—</w:t>
      </w:r>
      <w:r w:rsidR="00925025">
        <w:rPr>
          <w:color w:val="000000" w:themeColor="text1"/>
          <w:lang w:eastAsia="zh-CN"/>
        </w:rPr>
        <w:t xml:space="preserve">Broadband Power Amplifiers, </w:t>
      </w:r>
      <w:proofErr w:type="spellStart"/>
      <w:r w:rsidR="00925025">
        <w:rPr>
          <w:color w:val="000000" w:themeColor="text1"/>
          <w:lang w:eastAsia="zh-CN"/>
        </w:rPr>
        <w:t>InP</w:t>
      </w:r>
      <w:proofErr w:type="spellEnd"/>
      <w:r w:rsidR="00925025">
        <w:rPr>
          <w:color w:val="000000" w:themeColor="text1"/>
          <w:lang w:eastAsia="zh-CN"/>
        </w:rPr>
        <w:t xml:space="preserve"> HBT, Sub-quarter-wavelength </w:t>
      </w:r>
      <w:proofErr w:type="spellStart"/>
      <w:r w:rsidR="00925025">
        <w:rPr>
          <w:color w:val="000000" w:themeColor="text1"/>
          <w:lang w:eastAsia="zh-CN"/>
        </w:rPr>
        <w:t>baluns</w:t>
      </w:r>
      <w:proofErr w:type="spellEnd"/>
      <w:r w:rsidR="00925025">
        <w:rPr>
          <w:color w:val="000000" w:themeColor="text1"/>
          <w:lang w:eastAsia="zh-CN"/>
        </w:rPr>
        <w:t>, Saturated Output Power, Power-added efficiency</w:t>
      </w:r>
    </w:p>
    <w:bookmarkEnd w:id="1"/>
    <w:p w:rsidR="000E087C" w:rsidRPr="00CE2D6C" w:rsidRDefault="00E43665">
      <w:pPr>
        <w:pStyle w:val="Heading1"/>
        <w:spacing w:after="20"/>
        <w:rPr>
          <w:color w:val="000000" w:themeColor="text1"/>
        </w:rPr>
      </w:pPr>
      <w:r w:rsidRPr="00CE2D6C">
        <w:rPr>
          <w:color w:val="000000" w:themeColor="text1"/>
        </w:rPr>
        <w:t xml:space="preserve"> </w:t>
      </w:r>
      <w:r w:rsidR="00335FBC" w:rsidRPr="00CE2D6C">
        <w:rPr>
          <w:color w:val="000000" w:themeColor="text1"/>
        </w:rPr>
        <w:t>INTRODUCTION</w:t>
      </w:r>
    </w:p>
    <w:p w:rsidR="00376190" w:rsidRDefault="00376190" w:rsidP="00626929">
      <w:pPr>
        <w:pStyle w:val="Text"/>
        <w:ind w:firstLine="202"/>
        <w:rPr>
          <w:color w:val="000000" w:themeColor="text1"/>
          <w:szCs w:val="18"/>
        </w:rPr>
      </w:pPr>
      <w:r>
        <w:rPr>
          <w:color w:val="000000" w:themeColor="text1"/>
          <w:szCs w:val="18"/>
        </w:rPr>
        <w:t>Broadband, high-power, high efficiency mm-wave power amplifiers are required for</w:t>
      </w:r>
      <w:r w:rsidR="00393804">
        <w:rPr>
          <w:color w:val="000000" w:themeColor="text1"/>
          <w:szCs w:val="18"/>
        </w:rPr>
        <w:t xml:space="preserve"> applications in</w:t>
      </w:r>
      <w:r>
        <w:rPr>
          <w:color w:val="000000" w:themeColor="text1"/>
          <w:szCs w:val="18"/>
        </w:rPr>
        <w:t xml:space="preserve"> broadband instrumentation and electronic warfare.  </w:t>
      </w:r>
      <w:r w:rsidR="00393804">
        <w:rPr>
          <w:color w:val="000000" w:themeColor="text1"/>
          <w:szCs w:val="18"/>
        </w:rPr>
        <w:t>The work presented in this paper was designed as a driver amplifier for a broadly-tunabl</w:t>
      </w:r>
      <w:r w:rsidR="00DF4F0D">
        <w:rPr>
          <w:color w:val="000000" w:themeColor="text1"/>
          <w:szCs w:val="18"/>
        </w:rPr>
        <w:t>e dual-conversion receiver (1-25</w:t>
      </w:r>
      <w:r w:rsidR="006E1298">
        <w:rPr>
          <w:color w:val="000000" w:themeColor="text1"/>
          <w:szCs w:val="18"/>
        </w:rPr>
        <w:t xml:space="preserve"> </w:t>
      </w:r>
      <w:r w:rsidR="00393804">
        <w:rPr>
          <w:color w:val="000000" w:themeColor="text1"/>
          <w:szCs w:val="18"/>
        </w:rPr>
        <w:t>GHz)</w:t>
      </w:r>
      <w:r w:rsidR="006F139D">
        <w:rPr>
          <w:color w:val="000000" w:themeColor="text1"/>
          <w:szCs w:val="18"/>
        </w:rPr>
        <w:t xml:space="preserve"> with a fixed 100 GHz IF</w:t>
      </w:r>
      <w:r w:rsidR="00393804">
        <w:rPr>
          <w:color w:val="000000" w:themeColor="text1"/>
          <w:szCs w:val="18"/>
        </w:rPr>
        <w:t xml:space="preserve">.  </w:t>
      </w:r>
      <w:r w:rsidR="006F139D">
        <w:rPr>
          <w:color w:val="000000" w:themeColor="text1"/>
          <w:szCs w:val="18"/>
        </w:rPr>
        <w:t>One of the key challenges for achieving the target bandwidth was to design a power</w:t>
      </w:r>
      <w:r w:rsidR="003048E1">
        <w:rPr>
          <w:color w:val="000000" w:themeColor="text1"/>
          <w:szCs w:val="18"/>
        </w:rPr>
        <w:t>-</w:t>
      </w:r>
      <w:r w:rsidR="006F139D">
        <w:rPr>
          <w:color w:val="000000" w:themeColor="text1"/>
          <w:szCs w:val="18"/>
        </w:rPr>
        <w:t xml:space="preserve">efficient local oscillator driver amplifier with high power output (&gt;20 </w:t>
      </w:r>
      <w:proofErr w:type="spellStart"/>
      <w:r w:rsidR="006F139D">
        <w:rPr>
          <w:color w:val="000000" w:themeColor="text1"/>
          <w:szCs w:val="18"/>
        </w:rPr>
        <w:t>dBm</w:t>
      </w:r>
      <w:proofErr w:type="spellEnd"/>
      <w:r w:rsidR="006F139D">
        <w:rPr>
          <w:color w:val="000000" w:themeColor="text1"/>
          <w:szCs w:val="18"/>
        </w:rPr>
        <w:t>) over a bandwidth</w:t>
      </w:r>
      <w:r w:rsidR="00B21305">
        <w:rPr>
          <w:color w:val="000000" w:themeColor="text1"/>
          <w:szCs w:val="18"/>
        </w:rPr>
        <w:t xml:space="preserve"> larger than 25</w:t>
      </w:r>
      <w:r w:rsidR="006F139D">
        <w:rPr>
          <w:color w:val="000000" w:themeColor="text1"/>
          <w:szCs w:val="18"/>
        </w:rPr>
        <w:t xml:space="preserve"> GHz.  Previously, </w:t>
      </w:r>
      <w:r w:rsidR="003048E1">
        <w:rPr>
          <w:color w:val="000000" w:themeColor="text1"/>
          <w:szCs w:val="18"/>
        </w:rPr>
        <w:t>[1]</w:t>
      </w:r>
      <w:r w:rsidR="006F139D">
        <w:rPr>
          <w:color w:val="000000" w:themeColor="text1"/>
          <w:szCs w:val="18"/>
        </w:rPr>
        <w:t xml:space="preserve"> demonstrated</w:t>
      </w:r>
      <w:r w:rsidR="00393804">
        <w:rPr>
          <w:color w:val="000000" w:themeColor="text1"/>
          <w:szCs w:val="18"/>
        </w:rPr>
        <w:t xml:space="preserve"> high-efficiency W-band amplifiers using sub-quarter</w:t>
      </w:r>
      <w:r w:rsidR="003048E1">
        <w:rPr>
          <w:color w:val="000000" w:themeColor="text1"/>
          <w:szCs w:val="18"/>
        </w:rPr>
        <w:t>-</w:t>
      </w:r>
      <w:r w:rsidR="00393804">
        <w:rPr>
          <w:color w:val="000000" w:themeColor="text1"/>
          <w:szCs w:val="18"/>
        </w:rPr>
        <w:t xml:space="preserve">wavelength </w:t>
      </w:r>
      <w:proofErr w:type="spellStart"/>
      <w:r w:rsidR="00393804">
        <w:rPr>
          <w:color w:val="000000" w:themeColor="text1"/>
          <w:szCs w:val="18"/>
        </w:rPr>
        <w:t>baluns</w:t>
      </w:r>
      <w:proofErr w:type="spellEnd"/>
      <w:r w:rsidR="00393804">
        <w:rPr>
          <w:color w:val="000000" w:themeColor="text1"/>
          <w:szCs w:val="18"/>
        </w:rPr>
        <w:t xml:space="preserve"> for series-connected power combining implemented in a 0.25</w:t>
      </w:r>
      <w:r w:rsidR="006E1298">
        <w:rPr>
          <w:color w:val="000000" w:themeColor="text1"/>
          <w:szCs w:val="18"/>
        </w:rPr>
        <w:t xml:space="preserve"> </w:t>
      </w:r>
      <w:proofErr w:type="spellStart"/>
      <w:r w:rsidR="00F416BC">
        <w:rPr>
          <w:color w:val="000000" w:themeColor="text1"/>
          <w:szCs w:val="18"/>
        </w:rPr>
        <w:t>μ</w:t>
      </w:r>
      <w:r w:rsidR="00B21305">
        <w:rPr>
          <w:color w:val="000000" w:themeColor="text1"/>
          <w:szCs w:val="18"/>
        </w:rPr>
        <w:t>m</w:t>
      </w:r>
      <w:proofErr w:type="spellEnd"/>
      <w:r w:rsidR="00B21305">
        <w:rPr>
          <w:color w:val="000000" w:themeColor="text1"/>
          <w:szCs w:val="18"/>
        </w:rPr>
        <w:t xml:space="preserve"> </w:t>
      </w:r>
      <w:proofErr w:type="spellStart"/>
      <w:r w:rsidR="00B21305">
        <w:rPr>
          <w:color w:val="000000" w:themeColor="text1"/>
          <w:szCs w:val="18"/>
        </w:rPr>
        <w:t>InP</w:t>
      </w:r>
      <w:proofErr w:type="spellEnd"/>
      <w:r w:rsidR="00B21305">
        <w:rPr>
          <w:color w:val="000000" w:themeColor="text1"/>
          <w:szCs w:val="18"/>
        </w:rPr>
        <w:t xml:space="preserve"> HBT technology</w:t>
      </w:r>
      <w:r w:rsidR="00393804">
        <w:rPr>
          <w:color w:val="000000" w:themeColor="text1"/>
          <w:szCs w:val="18"/>
        </w:rPr>
        <w:t>.  This work us</w:t>
      </w:r>
      <w:r w:rsidR="0015188A">
        <w:rPr>
          <w:color w:val="000000" w:themeColor="text1"/>
          <w:szCs w:val="18"/>
        </w:rPr>
        <w:t>es the same method, and</w:t>
      </w:r>
      <w:r w:rsidR="00393804">
        <w:rPr>
          <w:color w:val="000000" w:themeColor="text1"/>
          <w:szCs w:val="18"/>
        </w:rPr>
        <w:t xml:space="preserve"> is implemented in a 130</w:t>
      </w:r>
      <w:r w:rsidR="006E1298">
        <w:rPr>
          <w:color w:val="000000" w:themeColor="text1"/>
          <w:szCs w:val="18"/>
        </w:rPr>
        <w:t xml:space="preserve"> </w:t>
      </w:r>
      <w:r w:rsidR="00393804">
        <w:rPr>
          <w:color w:val="000000" w:themeColor="text1"/>
          <w:szCs w:val="18"/>
        </w:rPr>
        <w:t xml:space="preserve">nm </w:t>
      </w:r>
      <w:proofErr w:type="spellStart"/>
      <w:r w:rsidR="00393804">
        <w:rPr>
          <w:color w:val="000000" w:themeColor="text1"/>
          <w:szCs w:val="18"/>
        </w:rPr>
        <w:t>InP</w:t>
      </w:r>
      <w:proofErr w:type="spellEnd"/>
      <w:r w:rsidR="00393804">
        <w:rPr>
          <w:color w:val="000000" w:themeColor="text1"/>
          <w:szCs w:val="18"/>
        </w:rPr>
        <w:t xml:space="preserve"> HBT technology, which exhibits </w:t>
      </w:r>
      <w:r w:rsidR="0015188A">
        <w:rPr>
          <w:color w:val="000000" w:themeColor="text1"/>
          <w:szCs w:val="18"/>
        </w:rPr>
        <w:t>a higher maximum power gain frequency (</w:t>
      </w:r>
      <w:proofErr w:type="spellStart"/>
      <w:r w:rsidR="0015188A">
        <w:rPr>
          <w:color w:val="000000" w:themeColor="text1"/>
          <w:szCs w:val="18"/>
        </w:rPr>
        <w:t>f</w:t>
      </w:r>
      <w:r w:rsidR="0015188A" w:rsidRPr="00061437">
        <w:rPr>
          <w:color w:val="000000" w:themeColor="text1"/>
          <w:szCs w:val="18"/>
          <w:vertAlign w:val="subscript"/>
        </w:rPr>
        <w:t>max</w:t>
      </w:r>
      <w:proofErr w:type="spellEnd"/>
      <w:r w:rsidR="0015188A">
        <w:rPr>
          <w:color w:val="000000" w:themeColor="text1"/>
          <w:szCs w:val="18"/>
        </w:rPr>
        <w:t>)</w:t>
      </w:r>
      <w:r w:rsidR="003048E1">
        <w:rPr>
          <w:color w:val="000000" w:themeColor="text1"/>
          <w:szCs w:val="18"/>
        </w:rPr>
        <w:t xml:space="preserve"> hence higher bandwidth</w:t>
      </w:r>
      <w:r w:rsidR="0015188A">
        <w:rPr>
          <w:color w:val="000000" w:themeColor="text1"/>
          <w:szCs w:val="18"/>
        </w:rPr>
        <w:t xml:space="preserve"> than its predecessor</w:t>
      </w:r>
      <w:r w:rsidR="00CE35F5">
        <w:rPr>
          <w:color w:val="000000" w:themeColor="text1"/>
          <w:szCs w:val="18"/>
        </w:rPr>
        <w:t>, but lower breakdown voltage</w:t>
      </w:r>
      <w:r w:rsidR="003048E1">
        <w:rPr>
          <w:color w:val="000000" w:themeColor="text1"/>
          <w:szCs w:val="18"/>
        </w:rPr>
        <w:t xml:space="preserve"> hence lower output power</w:t>
      </w:r>
      <w:r w:rsidR="00CE35F5">
        <w:rPr>
          <w:color w:val="000000" w:themeColor="text1"/>
          <w:szCs w:val="18"/>
        </w:rPr>
        <w:t>.</w:t>
      </w:r>
    </w:p>
    <w:p w:rsidR="00E1597B" w:rsidRPr="00CE2D6C" w:rsidRDefault="00894D09" w:rsidP="00626929">
      <w:pPr>
        <w:pStyle w:val="Text"/>
        <w:ind w:firstLine="202"/>
        <w:rPr>
          <w:color w:val="000000" w:themeColor="text1"/>
          <w:szCs w:val="18"/>
        </w:rPr>
      </w:pPr>
      <w:r>
        <w:rPr>
          <w:color w:val="000000" w:themeColor="text1"/>
          <w:szCs w:val="18"/>
        </w:rPr>
        <w:t>Here we report</w:t>
      </w:r>
      <w:r w:rsidR="00CE35F5">
        <w:rPr>
          <w:color w:val="000000" w:themeColor="text1"/>
          <w:szCs w:val="18"/>
        </w:rPr>
        <w:t xml:space="preserve"> broadband power ampl</w:t>
      </w:r>
      <w:r w:rsidR="00626929">
        <w:rPr>
          <w:color w:val="000000" w:themeColor="text1"/>
          <w:szCs w:val="18"/>
        </w:rPr>
        <w:t>ifiers demonstrating a 90</w:t>
      </w:r>
      <w:r w:rsidR="006E1298">
        <w:rPr>
          <w:color w:val="000000" w:themeColor="text1"/>
          <w:szCs w:val="18"/>
        </w:rPr>
        <w:t xml:space="preserve"> </w:t>
      </w:r>
      <w:r w:rsidR="00626929">
        <w:rPr>
          <w:color w:val="000000" w:themeColor="text1"/>
          <w:szCs w:val="18"/>
        </w:rPr>
        <w:t>GHz (24</w:t>
      </w:r>
      <w:r w:rsidR="006E1298">
        <w:rPr>
          <w:color w:val="000000" w:themeColor="text1"/>
          <w:szCs w:val="18"/>
        </w:rPr>
        <w:t xml:space="preserve"> </w:t>
      </w:r>
      <w:r w:rsidR="00626929">
        <w:rPr>
          <w:color w:val="000000" w:themeColor="text1"/>
          <w:szCs w:val="18"/>
        </w:rPr>
        <w:t>GHz – 114</w:t>
      </w:r>
      <w:r w:rsidR="006E1298">
        <w:rPr>
          <w:color w:val="000000" w:themeColor="text1"/>
          <w:szCs w:val="18"/>
        </w:rPr>
        <w:t xml:space="preserve"> </w:t>
      </w:r>
      <w:r w:rsidR="00CE35F5">
        <w:rPr>
          <w:color w:val="000000" w:themeColor="text1"/>
          <w:szCs w:val="18"/>
        </w:rPr>
        <w:t>GHz) measured 3</w:t>
      </w:r>
      <w:r w:rsidR="006E1298">
        <w:rPr>
          <w:color w:val="000000" w:themeColor="text1"/>
          <w:szCs w:val="18"/>
        </w:rPr>
        <w:t>-</w:t>
      </w:r>
      <w:r w:rsidR="00CE35F5">
        <w:rPr>
          <w:color w:val="000000" w:themeColor="text1"/>
          <w:szCs w:val="18"/>
        </w:rPr>
        <w:t>dB small signal bandwidth</w:t>
      </w:r>
      <w:r w:rsidR="00C973DD">
        <w:rPr>
          <w:color w:val="000000" w:themeColor="text1"/>
          <w:szCs w:val="18"/>
        </w:rPr>
        <w:t xml:space="preserve">, with peak PAE greater than 8% and output power at 3-dB gain compression greater than 16.5 </w:t>
      </w:r>
      <w:proofErr w:type="spellStart"/>
      <w:r w:rsidR="00C973DD">
        <w:rPr>
          <w:color w:val="000000" w:themeColor="text1"/>
          <w:szCs w:val="18"/>
        </w:rPr>
        <w:t>dBm</w:t>
      </w:r>
      <w:proofErr w:type="spellEnd"/>
      <w:r w:rsidR="00C973DD">
        <w:rPr>
          <w:color w:val="000000" w:themeColor="text1"/>
          <w:szCs w:val="18"/>
        </w:rPr>
        <w:t xml:space="preserve"> from 50 GHz to 100 GHz</w:t>
      </w:r>
      <w:r w:rsidR="00CE2D6C">
        <w:rPr>
          <w:color w:val="000000" w:themeColor="text1"/>
          <w:szCs w:val="18"/>
        </w:rPr>
        <w:t xml:space="preserve">.  We will review the </w:t>
      </w:r>
      <w:r w:rsidR="00626929">
        <w:rPr>
          <w:color w:val="000000" w:themeColor="text1"/>
          <w:szCs w:val="18"/>
        </w:rPr>
        <w:t>130</w:t>
      </w:r>
      <w:r w:rsidR="006E1298">
        <w:rPr>
          <w:color w:val="000000" w:themeColor="text1"/>
          <w:szCs w:val="18"/>
        </w:rPr>
        <w:t xml:space="preserve"> </w:t>
      </w:r>
      <w:r w:rsidR="00626929">
        <w:rPr>
          <w:color w:val="000000" w:themeColor="text1"/>
          <w:szCs w:val="18"/>
        </w:rPr>
        <w:t xml:space="preserve">nm </w:t>
      </w:r>
      <w:proofErr w:type="spellStart"/>
      <w:r w:rsidR="00CE2D6C">
        <w:rPr>
          <w:color w:val="000000" w:themeColor="text1"/>
          <w:szCs w:val="18"/>
        </w:rPr>
        <w:t>InP</w:t>
      </w:r>
      <w:proofErr w:type="spellEnd"/>
      <w:r w:rsidR="00CE2D6C">
        <w:rPr>
          <w:color w:val="000000" w:themeColor="text1"/>
          <w:szCs w:val="18"/>
        </w:rPr>
        <w:t xml:space="preserve"> HBT IC process in section II.  Section III will outline the PA design, and section IV will detail the measurement procedures and experimental results.</w:t>
      </w:r>
    </w:p>
    <w:p w:rsidR="00131913" w:rsidRDefault="00CE2D6C" w:rsidP="00131913">
      <w:pPr>
        <w:pStyle w:val="Heading1"/>
        <w:spacing w:after="20"/>
        <w:rPr>
          <w:color w:val="000000" w:themeColor="text1"/>
          <w:sz w:val="22"/>
          <w:lang w:eastAsia="zh-CN"/>
        </w:rPr>
      </w:pPr>
      <w:r>
        <w:rPr>
          <w:color w:val="000000" w:themeColor="text1"/>
          <w:sz w:val="22"/>
          <w:lang w:eastAsia="zh-CN"/>
        </w:rPr>
        <w:t>Indium Phosphide HBT Process</w:t>
      </w:r>
    </w:p>
    <w:p w:rsidR="00BA5445" w:rsidRDefault="00E81D58" w:rsidP="006E1298">
      <w:pPr>
        <w:spacing w:after="0"/>
        <w:ind w:firstLine="202"/>
        <w:jc w:val="both"/>
        <w:rPr>
          <w:lang w:eastAsia="zh-CN"/>
        </w:rPr>
      </w:pPr>
      <w:r>
        <w:rPr>
          <w:lang w:eastAsia="zh-CN"/>
        </w:rPr>
        <w:t>Teledyne Scientific Company’s</w:t>
      </w:r>
      <w:r w:rsidR="00BA5445">
        <w:rPr>
          <w:lang w:eastAsia="zh-CN"/>
        </w:rPr>
        <w:t xml:space="preserve"> 130</w:t>
      </w:r>
      <w:r w:rsidR="006E1298">
        <w:rPr>
          <w:lang w:eastAsia="zh-CN"/>
        </w:rPr>
        <w:t xml:space="preserve"> </w:t>
      </w:r>
      <w:r w:rsidR="00BA5445">
        <w:rPr>
          <w:lang w:eastAsia="zh-CN"/>
        </w:rPr>
        <w:t xml:space="preserve">nm </w:t>
      </w:r>
      <w:proofErr w:type="spellStart"/>
      <w:r w:rsidR="00BA5445">
        <w:rPr>
          <w:lang w:eastAsia="zh-CN"/>
        </w:rPr>
        <w:t>InP</w:t>
      </w:r>
      <w:proofErr w:type="spellEnd"/>
      <w:r w:rsidR="00BA5445">
        <w:rPr>
          <w:lang w:eastAsia="zh-CN"/>
        </w:rPr>
        <w:t xml:space="preserve"> HBT process with a ~3.5</w:t>
      </w:r>
      <w:r w:rsidR="006E1298">
        <w:rPr>
          <w:lang w:eastAsia="zh-CN"/>
        </w:rPr>
        <w:t xml:space="preserve"> </w:t>
      </w:r>
      <w:r w:rsidR="00BA5445">
        <w:rPr>
          <w:lang w:eastAsia="zh-CN"/>
        </w:rPr>
        <w:t xml:space="preserve">V breakdown voltage was used to design these power amplifiers.  The peak bandwidth of a single HBT in this process is </w:t>
      </w:r>
      <w:proofErr w:type="spellStart"/>
      <w:r w:rsidR="00BA5445">
        <w:rPr>
          <w:lang w:eastAsia="zh-CN"/>
        </w:rPr>
        <w:t>fmax</w:t>
      </w:r>
      <w:proofErr w:type="spellEnd"/>
      <w:r w:rsidR="00BA5445">
        <w:rPr>
          <w:lang w:eastAsia="zh-CN"/>
        </w:rPr>
        <w:t xml:space="preserve"> = 1150</w:t>
      </w:r>
      <w:r w:rsidR="006E1298">
        <w:rPr>
          <w:lang w:eastAsia="zh-CN"/>
        </w:rPr>
        <w:t xml:space="preserve"> </w:t>
      </w:r>
      <w:r w:rsidR="00BA5445">
        <w:rPr>
          <w:lang w:eastAsia="zh-CN"/>
        </w:rPr>
        <w:t xml:space="preserve">GHz and </w:t>
      </w:r>
      <w:proofErr w:type="spellStart"/>
      <w:r w:rsidR="00BA5445">
        <w:rPr>
          <w:lang w:eastAsia="zh-CN"/>
        </w:rPr>
        <w:t>ft</w:t>
      </w:r>
      <w:proofErr w:type="spellEnd"/>
      <w:r w:rsidR="00BA5445">
        <w:rPr>
          <w:lang w:eastAsia="zh-CN"/>
        </w:rPr>
        <w:t xml:space="preserve"> = 521</w:t>
      </w:r>
      <w:r w:rsidR="006E1298">
        <w:rPr>
          <w:lang w:eastAsia="zh-CN"/>
        </w:rPr>
        <w:t xml:space="preserve"> </w:t>
      </w:r>
      <w:r w:rsidR="00BA5445">
        <w:rPr>
          <w:lang w:eastAsia="zh-CN"/>
        </w:rPr>
        <w:t>GHz</w:t>
      </w:r>
      <w:r w:rsidR="000361D7">
        <w:rPr>
          <w:lang w:eastAsia="zh-CN"/>
        </w:rPr>
        <w:t xml:space="preserve"> [</w:t>
      </w:r>
      <w:r w:rsidR="00631F69">
        <w:rPr>
          <w:lang w:eastAsia="zh-CN"/>
        </w:rPr>
        <w:t>4</w:t>
      </w:r>
      <w:r w:rsidR="000361D7">
        <w:rPr>
          <w:lang w:eastAsia="zh-CN"/>
        </w:rPr>
        <w:t>]</w:t>
      </w:r>
      <w:r w:rsidR="00BA5445">
        <w:rPr>
          <w:lang w:eastAsia="zh-CN"/>
        </w:rPr>
        <w:t xml:space="preserve">.  The </w:t>
      </w:r>
      <w:r w:rsidR="0020645D">
        <w:rPr>
          <w:lang w:eastAsia="zh-CN"/>
        </w:rPr>
        <w:t>HBT po</w:t>
      </w:r>
      <w:r w:rsidR="00B21305">
        <w:rPr>
          <w:lang w:eastAsia="zh-CN"/>
        </w:rPr>
        <w:t>wer cells</w:t>
      </w:r>
      <w:r w:rsidR="0020645D">
        <w:rPr>
          <w:lang w:eastAsia="zh-CN"/>
        </w:rPr>
        <w:t xml:space="preserve"> were composed of 8-emitter fingers, each with </w:t>
      </w:r>
      <w:r w:rsidR="0020645D" w:rsidRPr="00061437">
        <w:rPr>
          <w:i/>
          <w:lang w:eastAsia="zh-CN"/>
        </w:rPr>
        <w:t>L</w:t>
      </w:r>
      <w:r w:rsidR="0020645D" w:rsidRPr="00061437">
        <w:rPr>
          <w:vertAlign w:val="subscript"/>
          <w:lang w:eastAsia="zh-CN"/>
        </w:rPr>
        <w:t>e</w:t>
      </w:r>
      <w:r w:rsidR="0020645D">
        <w:rPr>
          <w:lang w:eastAsia="zh-CN"/>
        </w:rPr>
        <w:t xml:space="preserve"> = 5</w:t>
      </w:r>
      <w:r w:rsidR="006E1298">
        <w:rPr>
          <w:lang w:eastAsia="zh-CN"/>
        </w:rPr>
        <w:t xml:space="preserve"> </w:t>
      </w:r>
      <w:proofErr w:type="spellStart"/>
      <w:r w:rsidR="00CC47DF">
        <w:rPr>
          <w:lang w:eastAsia="zh-CN"/>
        </w:rPr>
        <w:t>μ</w:t>
      </w:r>
      <w:r w:rsidR="0020645D">
        <w:rPr>
          <w:lang w:eastAsia="zh-CN"/>
        </w:rPr>
        <w:t>m</w:t>
      </w:r>
      <w:proofErr w:type="spellEnd"/>
      <w:r w:rsidR="0020645D">
        <w:rPr>
          <w:lang w:eastAsia="zh-CN"/>
        </w:rPr>
        <w:t xml:space="preserve">.  The footprint for the power </w:t>
      </w:r>
      <w:r w:rsidR="00626929">
        <w:rPr>
          <w:lang w:eastAsia="zh-CN"/>
        </w:rPr>
        <w:t>cell is</w:t>
      </w:r>
      <w:r w:rsidR="0020645D">
        <w:rPr>
          <w:lang w:eastAsia="zh-CN"/>
        </w:rPr>
        <w:t xml:space="preserve"> 70</w:t>
      </w:r>
      <w:r w:rsidR="006E1298">
        <w:rPr>
          <w:lang w:eastAsia="zh-CN"/>
        </w:rPr>
        <w:t xml:space="preserve"> </w:t>
      </w:r>
      <w:proofErr w:type="spellStart"/>
      <w:r w:rsidR="006F139D">
        <w:rPr>
          <w:lang w:eastAsia="zh-CN"/>
        </w:rPr>
        <w:t>μ</w:t>
      </w:r>
      <w:r w:rsidR="0020645D">
        <w:rPr>
          <w:lang w:eastAsia="zh-CN"/>
        </w:rPr>
        <w:t>m</w:t>
      </w:r>
      <w:proofErr w:type="spellEnd"/>
      <w:r w:rsidR="0020645D">
        <w:rPr>
          <w:lang w:eastAsia="zh-CN"/>
        </w:rPr>
        <w:t xml:space="preserve"> </w:t>
      </w:r>
      <w:r w:rsidR="003048E1">
        <w:rPr>
          <w:lang w:eastAsia="zh-CN"/>
        </w:rPr>
        <w:t xml:space="preserve">× </w:t>
      </w:r>
      <w:r w:rsidR="0020645D">
        <w:rPr>
          <w:lang w:eastAsia="zh-CN"/>
        </w:rPr>
        <w:t>15</w:t>
      </w:r>
      <w:r w:rsidR="006E1298">
        <w:rPr>
          <w:lang w:eastAsia="zh-CN"/>
        </w:rPr>
        <w:t xml:space="preserve"> </w:t>
      </w:r>
      <w:proofErr w:type="spellStart"/>
      <w:r w:rsidR="00CC47DF">
        <w:rPr>
          <w:lang w:eastAsia="zh-CN"/>
        </w:rPr>
        <w:t>μ</w:t>
      </w:r>
      <w:r w:rsidR="0020645D">
        <w:rPr>
          <w:lang w:eastAsia="zh-CN"/>
        </w:rPr>
        <w:t>m</w:t>
      </w:r>
      <w:proofErr w:type="spellEnd"/>
      <w:r w:rsidR="0020645D">
        <w:rPr>
          <w:lang w:eastAsia="zh-CN"/>
        </w:rPr>
        <w:t xml:space="preserve"> and arranged in a common-emitter configuration.  The transistors were spaced conservatively because there was no thermal model used in simulation.  The quiescent HBT bias used in the amplifiers was </w:t>
      </w:r>
      <w:proofErr w:type="spellStart"/>
      <w:proofErr w:type="gramStart"/>
      <w:r w:rsidR="0020645D" w:rsidRPr="00061437">
        <w:rPr>
          <w:i/>
          <w:lang w:eastAsia="zh-CN"/>
        </w:rPr>
        <w:t>I</w:t>
      </w:r>
      <w:r w:rsidR="0020645D" w:rsidRPr="00061437">
        <w:rPr>
          <w:vertAlign w:val="subscript"/>
          <w:lang w:eastAsia="zh-CN"/>
        </w:rPr>
        <w:t>c</w:t>
      </w:r>
      <w:proofErr w:type="spellEnd"/>
      <w:proofErr w:type="gramEnd"/>
      <w:r w:rsidR="0020645D">
        <w:rPr>
          <w:lang w:eastAsia="zh-CN"/>
        </w:rPr>
        <w:t xml:space="preserve"> = </w:t>
      </w:r>
      <w:r w:rsidR="00951926">
        <w:rPr>
          <w:lang w:eastAsia="zh-CN"/>
        </w:rPr>
        <w:t>5.5</w:t>
      </w:r>
      <w:r w:rsidR="006E1298">
        <w:rPr>
          <w:lang w:eastAsia="zh-CN"/>
        </w:rPr>
        <w:t xml:space="preserve"> </w:t>
      </w:r>
      <w:r w:rsidR="00F416BC">
        <w:rPr>
          <w:lang w:eastAsia="zh-CN"/>
        </w:rPr>
        <w:t>mA/μ</w:t>
      </w:r>
      <w:r w:rsidR="00951926">
        <w:rPr>
          <w:lang w:eastAsia="zh-CN"/>
        </w:rPr>
        <w:t>m</w:t>
      </w:r>
      <w:r w:rsidR="00951926" w:rsidRPr="00F416BC">
        <w:rPr>
          <w:vertAlign w:val="superscript"/>
          <w:lang w:eastAsia="zh-CN"/>
        </w:rPr>
        <w:t>2</w:t>
      </w:r>
      <w:r w:rsidR="00951926">
        <w:rPr>
          <w:lang w:eastAsia="zh-CN"/>
        </w:rPr>
        <w:t xml:space="preserve"> and </w:t>
      </w:r>
      <w:proofErr w:type="spellStart"/>
      <w:r w:rsidR="00951926" w:rsidRPr="00061437">
        <w:rPr>
          <w:i/>
          <w:lang w:eastAsia="zh-CN"/>
        </w:rPr>
        <w:t>V</w:t>
      </w:r>
      <w:r w:rsidR="00951926" w:rsidRPr="00061437">
        <w:rPr>
          <w:vertAlign w:val="subscript"/>
          <w:lang w:eastAsia="zh-CN"/>
        </w:rPr>
        <w:t>ce</w:t>
      </w:r>
      <w:proofErr w:type="spellEnd"/>
      <w:r w:rsidR="00951926">
        <w:rPr>
          <w:lang w:eastAsia="zh-CN"/>
        </w:rPr>
        <w:t xml:space="preserve"> = 2</w:t>
      </w:r>
      <w:r w:rsidR="006E1298">
        <w:rPr>
          <w:lang w:eastAsia="zh-CN"/>
        </w:rPr>
        <w:t xml:space="preserve"> </w:t>
      </w:r>
      <w:r w:rsidR="00951926">
        <w:rPr>
          <w:lang w:eastAsia="zh-CN"/>
        </w:rPr>
        <w:t xml:space="preserve">V.  </w:t>
      </w:r>
    </w:p>
    <w:p w:rsidR="001C0A2C" w:rsidRDefault="00951926" w:rsidP="006E1298">
      <w:pPr>
        <w:spacing w:after="0"/>
        <w:ind w:firstLine="202"/>
        <w:jc w:val="both"/>
        <w:rPr>
          <w:rFonts w:ascii="TimesNewRoman" w:hAnsi="TimesNewRoman" w:cs="TimesNewRoman"/>
          <w:lang w:eastAsia="zh-CN"/>
        </w:rPr>
      </w:pPr>
      <w:r>
        <w:rPr>
          <w:lang w:eastAsia="zh-CN"/>
        </w:rPr>
        <w:t xml:space="preserve">A </w:t>
      </w:r>
      <w:r w:rsidR="00AD6633">
        <w:rPr>
          <w:lang w:eastAsia="zh-CN"/>
        </w:rPr>
        <w:t>3-metal layer</w:t>
      </w:r>
      <w:r w:rsidR="00626929">
        <w:rPr>
          <w:lang w:eastAsia="zh-CN"/>
        </w:rPr>
        <w:t xml:space="preserve"> gold</w:t>
      </w:r>
      <w:r w:rsidR="00AD6633">
        <w:rPr>
          <w:lang w:eastAsia="zh-CN"/>
        </w:rPr>
        <w:t xml:space="preserve"> interconnect is used.  The inter-metal interconnect separation dielectric material is BCB (</w:t>
      </w:r>
      <w:r w:rsidR="00AD6633" w:rsidRPr="00AD6633">
        <w:rPr>
          <w:rFonts w:ascii="Symbol" w:hAnsi="Symbol" w:cs="Symbol"/>
          <w:lang w:eastAsia="zh-CN"/>
        </w:rPr>
        <w:sym w:font="Symbol" w:char="F065"/>
      </w:r>
      <w:r w:rsidR="00AD6633">
        <w:rPr>
          <w:rFonts w:ascii="TimesNewRoman" w:hAnsi="TimesNewRoman" w:cs="TimesNewRoman"/>
          <w:sz w:val="13"/>
          <w:szCs w:val="13"/>
          <w:lang w:eastAsia="zh-CN"/>
        </w:rPr>
        <w:t xml:space="preserve">r </w:t>
      </w:r>
      <w:r w:rsidR="00AD6633">
        <w:rPr>
          <w:rFonts w:ascii="TimesNewRoman" w:hAnsi="TimesNewRoman" w:cs="TimesNewRoman"/>
          <w:lang w:eastAsia="zh-CN"/>
        </w:rPr>
        <w:t>= 2.7).  The separation between the first and se</w:t>
      </w:r>
      <w:r w:rsidR="00F416BC">
        <w:rPr>
          <w:rFonts w:ascii="TimesNewRoman" w:hAnsi="TimesNewRoman" w:cs="TimesNewRoman"/>
          <w:lang w:eastAsia="zh-CN"/>
        </w:rPr>
        <w:t xml:space="preserve">cond level interconnect is 1.0 </w:t>
      </w:r>
      <w:proofErr w:type="spellStart"/>
      <w:r w:rsidR="00F416BC">
        <w:rPr>
          <w:rFonts w:ascii="TimesNewRoman" w:hAnsi="TimesNewRoman" w:cs="TimesNewRoman"/>
          <w:lang w:eastAsia="zh-CN"/>
        </w:rPr>
        <w:t>μ</w:t>
      </w:r>
      <w:r w:rsidR="00AD6633">
        <w:rPr>
          <w:rFonts w:ascii="TimesNewRoman" w:hAnsi="TimesNewRoman" w:cs="TimesNewRoman"/>
          <w:lang w:eastAsia="zh-CN"/>
        </w:rPr>
        <w:t>m</w:t>
      </w:r>
      <w:proofErr w:type="spellEnd"/>
      <w:r w:rsidR="00AD6633">
        <w:rPr>
          <w:rFonts w:ascii="TimesNewRoman" w:hAnsi="TimesNewRoman" w:cs="TimesNewRoman"/>
          <w:lang w:eastAsia="zh-CN"/>
        </w:rPr>
        <w:t xml:space="preserve"> and the separation between the second and t</w:t>
      </w:r>
      <w:r w:rsidR="00F416BC">
        <w:rPr>
          <w:rFonts w:ascii="TimesNewRoman" w:hAnsi="TimesNewRoman" w:cs="TimesNewRoman"/>
          <w:lang w:eastAsia="zh-CN"/>
        </w:rPr>
        <w:t xml:space="preserve">hird level interconnect is 5.0 </w:t>
      </w:r>
      <w:proofErr w:type="spellStart"/>
      <w:r w:rsidR="00F416BC">
        <w:rPr>
          <w:rFonts w:ascii="TimesNewRoman" w:hAnsi="TimesNewRoman" w:cs="TimesNewRoman"/>
          <w:lang w:eastAsia="zh-CN"/>
        </w:rPr>
        <w:t>μ</w:t>
      </w:r>
      <w:r w:rsidR="00AD6633">
        <w:rPr>
          <w:rFonts w:ascii="TimesNewRoman" w:hAnsi="TimesNewRoman" w:cs="TimesNewRoman"/>
          <w:lang w:eastAsia="zh-CN"/>
        </w:rPr>
        <w:t>m</w:t>
      </w:r>
      <w:proofErr w:type="spellEnd"/>
      <w:r w:rsidR="00AD6633">
        <w:rPr>
          <w:rFonts w:ascii="TimesNewRoman" w:hAnsi="TimesNewRoman" w:cs="TimesNewRoman"/>
          <w:lang w:eastAsia="zh-CN"/>
        </w:rPr>
        <w:t xml:space="preserve">.  </w:t>
      </w:r>
      <w:r w:rsidR="009D7D40">
        <w:rPr>
          <w:rFonts w:ascii="TimesNewRoman" w:hAnsi="TimesNewRoman" w:cs="TimesNewRoman"/>
          <w:lang w:eastAsia="zh-CN"/>
        </w:rPr>
        <w:t>MIM capacitors (</w:t>
      </w:r>
      <w:proofErr w:type="spellStart"/>
      <w:r w:rsidR="009D7D40">
        <w:rPr>
          <w:rFonts w:ascii="TimesNewRoman" w:hAnsi="TimesNewRoman" w:cs="TimesNewRoman"/>
          <w:lang w:eastAsia="zh-CN"/>
        </w:rPr>
        <w:t>SiN</w:t>
      </w:r>
      <w:r w:rsidR="009D7D40" w:rsidRPr="00061437">
        <w:rPr>
          <w:rFonts w:ascii="TimesNewRoman" w:hAnsi="TimesNewRoman" w:cs="TimesNewRoman"/>
          <w:vertAlign w:val="subscript"/>
          <w:lang w:eastAsia="zh-CN"/>
        </w:rPr>
        <w:t>x</w:t>
      </w:r>
      <w:proofErr w:type="spellEnd"/>
      <w:r w:rsidR="009D7D40">
        <w:rPr>
          <w:rFonts w:ascii="TimesNewRoman" w:hAnsi="TimesNewRoman" w:cs="TimesNewRoman"/>
          <w:lang w:eastAsia="zh-CN"/>
        </w:rPr>
        <w:t>, 0.3</w:t>
      </w:r>
      <w:r w:rsidR="006E1298">
        <w:rPr>
          <w:rFonts w:ascii="TimesNewRoman" w:hAnsi="TimesNewRoman" w:cs="TimesNewRoman"/>
          <w:lang w:eastAsia="zh-CN"/>
        </w:rPr>
        <w:t xml:space="preserve"> </w:t>
      </w:r>
      <w:proofErr w:type="spellStart"/>
      <w:r w:rsidR="00F416BC">
        <w:rPr>
          <w:rFonts w:ascii="TimesNewRoman" w:hAnsi="TimesNewRoman" w:cs="TimesNewRoman"/>
          <w:lang w:eastAsia="zh-CN"/>
        </w:rPr>
        <w:t>fF</w:t>
      </w:r>
      <w:proofErr w:type="spellEnd"/>
      <w:r w:rsidR="00F416BC">
        <w:rPr>
          <w:rFonts w:ascii="TimesNewRoman" w:hAnsi="TimesNewRoman" w:cs="TimesNewRoman"/>
          <w:lang w:eastAsia="zh-CN"/>
        </w:rPr>
        <w:t>/μm</w:t>
      </w:r>
      <w:r w:rsidR="00F416BC" w:rsidRPr="00F416BC">
        <w:rPr>
          <w:rFonts w:ascii="TimesNewRoman" w:hAnsi="TimesNewRoman" w:cs="TimesNewRoman"/>
          <w:vertAlign w:val="superscript"/>
          <w:lang w:eastAsia="zh-CN"/>
        </w:rPr>
        <w:t>2</w:t>
      </w:r>
      <w:r w:rsidR="009D7D40">
        <w:rPr>
          <w:rFonts w:ascii="TimesNewRoman" w:hAnsi="TimesNewRoman" w:cs="TimesNewRoman"/>
          <w:lang w:eastAsia="zh-CN"/>
        </w:rPr>
        <w:t>) are formed between the first and second level interconnect metal, and 50-Ω/</w:t>
      </w:r>
      <w:proofErr w:type="spellStart"/>
      <w:r w:rsidR="009D7D40">
        <w:rPr>
          <w:rFonts w:ascii="TimesNewRoman" w:hAnsi="TimesNewRoman" w:cs="TimesNewRoman"/>
          <w:lang w:eastAsia="zh-CN"/>
        </w:rPr>
        <w:t>sq</w:t>
      </w:r>
      <w:proofErr w:type="spellEnd"/>
      <w:r w:rsidR="009D7D40">
        <w:rPr>
          <w:rFonts w:ascii="TimesNewRoman" w:hAnsi="TimesNewRoman" w:cs="TimesNewRoman"/>
          <w:lang w:eastAsia="zh-CN"/>
        </w:rPr>
        <w:t xml:space="preserve"> thin-film resistors are available.</w:t>
      </w:r>
    </w:p>
    <w:p w:rsidR="001C0A2C" w:rsidRDefault="00D53C1B" w:rsidP="00D53C1B">
      <w:pPr>
        <w:ind w:firstLine="202"/>
        <w:rPr>
          <w:rFonts w:ascii="TimesNewRoman" w:hAnsi="TimesNewRoman" w:cs="TimesNewRoman"/>
          <w:lang w:eastAsia="zh-CN"/>
        </w:rPr>
      </w:pPr>
      <w:r>
        <w:rPr>
          <w:noProof/>
          <w:color w:val="000000" w:themeColor="text1"/>
        </w:rPr>
        <w:drawing>
          <wp:inline distT="0" distB="0" distL="0" distR="0" wp14:anchorId="32A2B298" wp14:editId="26AA4F8E">
            <wp:extent cx="3072384" cy="180441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ledyne160404_032_cropped.jpg"/>
                    <pic:cNvPicPr/>
                  </pic:nvPicPr>
                  <pic:blipFill>
                    <a:blip r:embed="rId9">
                      <a:extLst>
                        <a:ext uri="{28A0092B-C50C-407E-A947-70E740481C1C}">
                          <a14:useLocalDpi xmlns:a14="http://schemas.microsoft.com/office/drawing/2010/main" val="0"/>
                        </a:ext>
                      </a:extLst>
                    </a:blip>
                    <a:stretch>
                      <a:fillRect/>
                    </a:stretch>
                  </pic:blipFill>
                  <pic:spPr>
                    <a:xfrm>
                      <a:off x="0" y="0"/>
                      <a:ext cx="3079968" cy="1808870"/>
                    </a:xfrm>
                    <a:prstGeom prst="rect">
                      <a:avLst/>
                    </a:prstGeom>
                  </pic:spPr>
                </pic:pic>
              </a:graphicData>
            </a:graphic>
          </wp:inline>
        </w:drawing>
      </w:r>
    </w:p>
    <w:p w:rsidR="00AA392E" w:rsidRPr="00626D46" w:rsidRDefault="00626D46" w:rsidP="00263A5E">
      <w:pPr>
        <w:ind w:firstLine="202"/>
        <w:jc w:val="both"/>
        <w:rPr>
          <w:sz w:val="18"/>
          <w:szCs w:val="18"/>
          <w:lang w:eastAsia="zh-CN"/>
        </w:rPr>
      </w:pPr>
      <w:r>
        <w:rPr>
          <w:sz w:val="18"/>
          <w:szCs w:val="18"/>
          <w:lang w:eastAsia="zh-CN"/>
        </w:rPr>
        <w:t>Fig.</w:t>
      </w:r>
      <w:r w:rsidR="00AA392E" w:rsidRPr="00626D46">
        <w:rPr>
          <w:sz w:val="18"/>
          <w:szCs w:val="18"/>
          <w:lang w:eastAsia="zh-CN"/>
        </w:rPr>
        <w:t xml:space="preserve"> 1. </w:t>
      </w:r>
      <w:r w:rsidR="00D53C1B" w:rsidRPr="00626D46">
        <w:rPr>
          <w:color w:val="000000" w:themeColor="text1"/>
          <w:sz w:val="18"/>
          <w:szCs w:val="18"/>
        </w:rPr>
        <w:t xml:space="preserve">Wide-band 2-stage </w:t>
      </w:r>
      <w:proofErr w:type="spellStart"/>
      <w:r w:rsidR="00D53C1B" w:rsidRPr="00626D46">
        <w:rPr>
          <w:color w:val="000000" w:themeColor="text1"/>
          <w:sz w:val="18"/>
          <w:szCs w:val="18"/>
        </w:rPr>
        <w:t>InP</w:t>
      </w:r>
      <w:proofErr w:type="spellEnd"/>
      <w:r w:rsidR="00D53C1B" w:rsidRPr="00626D46">
        <w:rPr>
          <w:color w:val="000000" w:themeColor="text1"/>
          <w:sz w:val="18"/>
          <w:szCs w:val="18"/>
        </w:rPr>
        <w:t xml:space="preserve"> HBT power amplifier with sub-quarter wavelength </w:t>
      </w:r>
      <w:proofErr w:type="spellStart"/>
      <w:r w:rsidR="00D53C1B" w:rsidRPr="00626D46">
        <w:rPr>
          <w:color w:val="000000" w:themeColor="text1"/>
          <w:sz w:val="18"/>
          <w:szCs w:val="18"/>
        </w:rPr>
        <w:t>baluns</w:t>
      </w:r>
      <w:proofErr w:type="spellEnd"/>
      <w:r w:rsidR="00D53C1B" w:rsidRPr="00626D46">
        <w:rPr>
          <w:sz w:val="18"/>
          <w:szCs w:val="18"/>
          <w:lang w:eastAsia="zh-CN"/>
        </w:rPr>
        <w:t xml:space="preserve"> </w:t>
      </w:r>
    </w:p>
    <w:p w:rsidR="000E087C" w:rsidRPr="00AD00D6" w:rsidRDefault="00E81D58">
      <w:pPr>
        <w:pStyle w:val="Heading1"/>
        <w:spacing w:after="20"/>
        <w:rPr>
          <w:color w:val="000000" w:themeColor="text1"/>
          <w:sz w:val="22"/>
          <w:lang w:eastAsia="zh-CN"/>
        </w:rPr>
      </w:pPr>
      <w:r>
        <w:rPr>
          <w:color w:val="000000" w:themeColor="text1"/>
          <w:sz w:val="22"/>
          <w:lang w:eastAsia="zh-CN"/>
        </w:rPr>
        <w:t>Broadband Power Amplifier IC Design</w:t>
      </w:r>
    </w:p>
    <w:p w:rsidR="00295074" w:rsidRDefault="009D7D40" w:rsidP="00295074">
      <w:pPr>
        <w:pStyle w:val="Text"/>
        <w:ind w:firstLine="202"/>
        <w:rPr>
          <w:color w:val="000000" w:themeColor="text1"/>
        </w:rPr>
      </w:pPr>
      <w:r>
        <w:rPr>
          <w:color w:val="000000" w:themeColor="text1"/>
        </w:rPr>
        <w:t>The amplifier IC design was simulated using Advanced Design System (ADS) and an HBT model provided by Teledyne Scientific Company for the 130</w:t>
      </w:r>
      <w:r w:rsidR="006E1298">
        <w:rPr>
          <w:color w:val="000000" w:themeColor="text1"/>
        </w:rPr>
        <w:t xml:space="preserve"> </w:t>
      </w:r>
      <w:r>
        <w:rPr>
          <w:color w:val="000000" w:themeColor="text1"/>
        </w:rPr>
        <w:t xml:space="preserve">nm HBT technology.  Thin-film, low-loss </w:t>
      </w:r>
      <w:proofErr w:type="spellStart"/>
      <w:r>
        <w:rPr>
          <w:color w:val="000000" w:themeColor="text1"/>
        </w:rPr>
        <w:t>microstrip</w:t>
      </w:r>
      <w:proofErr w:type="spellEnd"/>
      <w:r>
        <w:rPr>
          <w:color w:val="000000" w:themeColor="text1"/>
        </w:rPr>
        <w:t xml:space="preserve"> wiring is used in the designs.  All transmission line structures, </w:t>
      </w:r>
      <w:proofErr w:type="spellStart"/>
      <w:r>
        <w:rPr>
          <w:color w:val="000000" w:themeColor="text1"/>
        </w:rPr>
        <w:t>baluns</w:t>
      </w:r>
      <w:proofErr w:type="spellEnd"/>
      <w:r>
        <w:rPr>
          <w:color w:val="000000" w:themeColor="text1"/>
        </w:rPr>
        <w:t xml:space="preserve">, MIM capacitors, device feed structures and probe pads were simulated using ADS Momentum 2.5-D electromagnetic simulator.  The thin-film </w:t>
      </w:r>
      <w:proofErr w:type="spellStart"/>
      <w:r>
        <w:rPr>
          <w:color w:val="000000" w:themeColor="text1"/>
        </w:rPr>
        <w:t>microstrip</w:t>
      </w:r>
      <w:proofErr w:type="spellEnd"/>
      <w:r>
        <w:rPr>
          <w:color w:val="000000" w:themeColor="text1"/>
        </w:rPr>
        <w:t xml:space="preserve"> is formed using the top metal layer (MET3) for signal and using the first metal layer (MET1) for</w:t>
      </w:r>
      <w:r w:rsidR="00626929">
        <w:rPr>
          <w:color w:val="000000" w:themeColor="text1"/>
        </w:rPr>
        <w:t xml:space="preserve"> a ground-plane (separation of 7</w:t>
      </w:r>
      <w:r w:rsidR="00F416BC">
        <w:rPr>
          <w:color w:val="000000" w:themeColor="text1"/>
        </w:rPr>
        <w:t xml:space="preserve">.0 </w:t>
      </w:r>
      <w:proofErr w:type="spellStart"/>
      <w:r w:rsidR="00F416BC">
        <w:rPr>
          <w:color w:val="000000" w:themeColor="text1"/>
        </w:rPr>
        <w:t>μ</w:t>
      </w:r>
      <w:r>
        <w:rPr>
          <w:color w:val="000000" w:themeColor="text1"/>
        </w:rPr>
        <w:t>m</w:t>
      </w:r>
      <w:proofErr w:type="spellEnd"/>
      <w:r>
        <w:rPr>
          <w:color w:val="000000" w:themeColor="text1"/>
        </w:rPr>
        <w:t xml:space="preserve">).  </w:t>
      </w:r>
    </w:p>
    <w:p w:rsidR="00561B78" w:rsidRDefault="00295074" w:rsidP="00561B78">
      <w:pPr>
        <w:pStyle w:val="Text"/>
        <w:ind w:firstLine="202"/>
        <w:rPr>
          <w:color w:val="000000" w:themeColor="text1"/>
        </w:rPr>
      </w:pPr>
      <w:r>
        <w:rPr>
          <w:color w:val="000000" w:themeColor="text1"/>
        </w:rPr>
        <w:t xml:space="preserve">The amplifier uses a basic common-emitter configuration for </w:t>
      </w:r>
      <w:r>
        <w:rPr>
          <w:color w:val="000000" w:themeColor="text1"/>
        </w:rPr>
        <w:lastRenderedPageBreak/>
        <w:t xml:space="preserve">each HBT cell.  It uses sub-quarter wavelength </w:t>
      </w:r>
      <w:proofErr w:type="spellStart"/>
      <w:r>
        <w:rPr>
          <w:color w:val="000000" w:themeColor="text1"/>
        </w:rPr>
        <w:t>balun</w:t>
      </w:r>
      <w:proofErr w:type="spellEnd"/>
      <w:r>
        <w:rPr>
          <w:color w:val="000000" w:themeColor="text1"/>
        </w:rPr>
        <w:t xml:space="preserve"> pairs for compact, wide-band </w:t>
      </w:r>
      <w:r w:rsidR="00B80C18">
        <w:rPr>
          <w:color w:val="000000" w:themeColor="text1"/>
        </w:rPr>
        <w:t xml:space="preserve">power combining, </w:t>
      </w:r>
      <w:r>
        <w:rPr>
          <w:color w:val="000000" w:themeColor="text1"/>
        </w:rPr>
        <w:t xml:space="preserve">for </w:t>
      </w:r>
      <w:r w:rsidR="003048E1">
        <w:rPr>
          <w:color w:val="000000" w:themeColor="text1"/>
        </w:rPr>
        <w:t xml:space="preserve">shunt </w:t>
      </w:r>
      <w:r w:rsidR="00B80C18">
        <w:rPr>
          <w:color w:val="000000" w:themeColor="text1"/>
        </w:rPr>
        <w:t>inductive</w:t>
      </w:r>
      <w:r>
        <w:rPr>
          <w:color w:val="000000" w:themeColor="text1"/>
        </w:rPr>
        <w:t xml:space="preserve"> load-line matching at 85</w:t>
      </w:r>
      <w:r w:rsidR="006E1298">
        <w:rPr>
          <w:color w:val="000000" w:themeColor="text1"/>
        </w:rPr>
        <w:t xml:space="preserve"> </w:t>
      </w:r>
      <w:r>
        <w:rPr>
          <w:color w:val="000000" w:themeColor="text1"/>
        </w:rPr>
        <w:t>GHz</w:t>
      </w:r>
      <w:r w:rsidR="00B80C18">
        <w:rPr>
          <w:color w:val="000000" w:themeColor="text1"/>
        </w:rPr>
        <w:t>, and for DC biasing</w:t>
      </w:r>
      <w:r w:rsidR="00B21305">
        <w:rPr>
          <w:color w:val="000000" w:themeColor="text1"/>
        </w:rPr>
        <w:t xml:space="preserve">, </w:t>
      </w:r>
      <w:r w:rsidR="003048E1">
        <w:rPr>
          <w:color w:val="000000" w:themeColor="text1"/>
        </w:rPr>
        <w:t>(</w:t>
      </w:r>
      <w:r w:rsidR="00B21305">
        <w:rPr>
          <w:color w:val="000000" w:themeColor="text1"/>
        </w:rPr>
        <w:t>Figure 2</w:t>
      </w:r>
      <w:r w:rsidR="003048E1">
        <w:rPr>
          <w:color w:val="000000" w:themeColor="text1"/>
        </w:rPr>
        <w:t>)</w:t>
      </w:r>
      <w:r>
        <w:rPr>
          <w:color w:val="000000" w:themeColor="text1"/>
        </w:rPr>
        <w:t xml:space="preserve">.  </w:t>
      </w:r>
      <w:r w:rsidR="002332D1">
        <w:rPr>
          <w:color w:val="000000" w:themeColor="text1"/>
        </w:rPr>
        <w:t xml:space="preserve">The output stage uses 4:1 </w:t>
      </w:r>
      <w:r w:rsidR="003048E1">
        <w:rPr>
          <w:color w:val="000000" w:themeColor="text1"/>
        </w:rPr>
        <w:t xml:space="preserve">series </w:t>
      </w:r>
      <w:r w:rsidR="002332D1">
        <w:rPr>
          <w:color w:val="000000" w:themeColor="text1"/>
        </w:rPr>
        <w:t xml:space="preserve">combining, </w:t>
      </w:r>
      <w:r w:rsidR="003048E1">
        <w:rPr>
          <w:color w:val="000000" w:themeColor="text1"/>
        </w:rPr>
        <w:t xml:space="preserve">while </w:t>
      </w:r>
      <w:r w:rsidR="002332D1">
        <w:rPr>
          <w:color w:val="000000" w:themeColor="text1"/>
        </w:rPr>
        <w:t xml:space="preserve">the driver uses 2:1 </w:t>
      </w:r>
      <w:r w:rsidR="003048E1">
        <w:rPr>
          <w:color w:val="000000" w:themeColor="text1"/>
        </w:rPr>
        <w:t xml:space="preserve">series </w:t>
      </w:r>
      <w:r w:rsidR="002332D1">
        <w:rPr>
          <w:color w:val="000000" w:themeColor="text1"/>
        </w:rPr>
        <w:t>combining</w:t>
      </w:r>
      <w:r w:rsidR="003048E1">
        <w:rPr>
          <w:color w:val="000000" w:themeColor="text1"/>
        </w:rPr>
        <w:t>, designed to produce 1/4 the power of the output stage</w:t>
      </w:r>
      <w:r w:rsidR="002332D1">
        <w:rPr>
          <w:color w:val="000000" w:themeColor="text1"/>
        </w:rPr>
        <w:t xml:space="preserve">.  </w:t>
      </w:r>
      <w:r w:rsidR="003048E1">
        <w:rPr>
          <w:color w:val="000000" w:themeColor="text1"/>
        </w:rPr>
        <w:t>T</w:t>
      </w:r>
      <w:r w:rsidR="002332D1">
        <w:rPr>
          <w:color w:val="000000" w:themeColor="text1"/>
        </w:rPr>
        <w:t xml:space="preserve">he </w:t>
      </w:r>
      <w:proofErr w:type="spellStart"/>
      <w:r w:rsidR="003048E1">
        <w:rPr>
          <w:color w:val="000000" w:themeColor="text1"/>
        </w:rPr>
        <w:t>baluns</w:t>
      </w:r>
      <w:proofErr w:type="spellEnd"/>
      <w:r w:rsidR="003048E1">
        <w:rPr>
          <w:color w:val="000000" w:themeColor="text1"/>
        </w:rPr>
        <w:t xml:space="preserve"> present to the transistor cells a </w:t>
      </w:r>
      <w:r w:rsidR="002332D1">
        <w:rPr>
          <w:color w:val="000000" w:themeColor="text1"/>
        </w:rPr>
        <w:t>25</w:t>
      </w:r>
      <w:r w:rsidR="006E1298">
        <w:rPr>
          <w:color w:val="000000" w:themeColor="text1"/>
        </w:rPr>
        <w:t xml:space="preserve"> </w:t>
      </w:r>
      <w:r w:rsidR="002332D1">
        <w:rPr>
          <w:color w:val="000000" w:themeColor="text1"/>
        </w:rPr>
        <w:t>Ω</w:t>
      </w:r>
      <w:r w:rsidR="003048E1">
        <w:rPr>
          <w:color w:val="000000" w:themeColor="text1"/>
        </w:rPr>
        <w:t xml:space="preserve"> load, with inductive shunt tuning of the transistor capacitance</w:t>
      </w:r>
      <w:r w:rsidR="002332D1">
        <w:rPr>
          <w:color w:val="000000" w:themeColor="text1"/>
        </w:rPr>
        <w:t xml:space="preserve">.  </w:t>
      </w:r>
      <w:r w:rsidR="003048E1">
        <w:rPr>
          <w:color w:val="000000" w:themeColor="text1"/>
        </w:rPr>
        <w:t xml:space="preserve">A more detailed description of this topology </w:t>
      </w:r>
      <w:r w:rsidR="00526570">
        <w:rPr>
          <w:color w:val="000000" w:themeColor="text1"/>
        </w:rPr>
        <w:t>can be found in [1]-[</w:t>
      </w:r>
      <w:r w:rsidR="002332D1">
        <w:rPr>
          <w:color w:val="000000" w:themeColor="text1"/>
        </w:rPr>
        <w:t xml:space="preserve">2].  </w:t>
      </w:r>
    </w:p>
    <w:p w:rsidR="001C0A2C" w:rsidRDefault="000E10D4" w:rsidP="00561B78">
      <w:pPr>
        <w:pStyle w:val="Text"/>
        <w:ind w:firstLine="202"/>
        <w:rPr>
          <w:color w:val="000000" w:themeColor="text1"/>
        </w:rPr>
      </w:pPr>
      <w:r>
        <w:rPr>
          <w:noProof/>
          <w:color w:val="000000" w:themeColor="text1"/>
        </w:rPr>
        <w:drawing>
          <wp:inline distT="0" distB="0" distL="0" distR="0" wp14:anchorId="6EBAC85C" wp14:editId="0EA56018">
            <wp:extent cx="3133725" cy="261239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_Circuit_Diagram_2.jpg"/>
                    <pic:cNvPicPr/>
                  </pic:nvPicPr>
                  <pic:blipFill>
                    <a:blip r:embed="rId10">
                      <a:extLst>
                        <a:ext uri="{28A0092B-C50C-407E-A947-70E740481C1C}">
                          <a14:useLocalDpi xmlns:a14="http://schemas.microsoft.com/office/drawing/2010/main" val="0"/>
                        </a:ext>
                      </a:extLst>
                    </a:blip>
                    <a:stretch>
                      <a:fillRect/>
                    </a:stretch>
                  </pic:blipFill>
                  <pic:spPr>
                    <a:xfrm>
                      <a:off x="0" y="0"/>
                      <a:ext cx="3133725" cy="2612390"/>
                    </a:xfrm>
                    <a:prstGeom prst="rect">
                      <a:avLst/>
                    </a:prstGeom>
                  </pic:spPr>
                </pic:pic>
              </a:graphicData>
            </a:graphic>
          </wp:inline>
        </w:drawing>
      </w:r>
    </w:p>
    <w:p w:rsidR="00AA392E" w:rsidRPr="00626D46" w:rsidRDefault="006B1895" w:rsidP="00263A5E">
      <w:pPr>
        <w:pStyle w:val="Text"/>
        <w:ind w:firstLine="202"/>
        <w:rPr>
          <w:sz w:val="18"/>
          <w:szCs w:val="18"/>
          <w:lang w:eastAsia="zh-CN"/>
        </w:rPr>
      </w:pPr>
      <w:r w:rsidRPr="00626D46">
        <w:rPr>
          <w:color w:val="000000" w:themeColor="text1"/>
          <w:sz w:val="16"/>
          <w:szCs w:val="16"/>
        </w:rPr>
        <w:t xml:space="preserve"> </w:t>
      </w:r>
      <w:r w:rsidR="00626D46">
        <w:rPr>
          <w:color w:val="000000" w:themeColor="text1"/>
          <w:sz w:val="18"/>
          <w:szCs w:val="18"/>
        </w:rPr>
        <w:t>Fig.</w:t>
      </w:r>
      <w:r w:rsidR="00AA392E" w:rsidRPr="00626D46">
        <w:rPr>
          <w:color w:val="000000" w:themeColor="text1"/>
          <w:sz w:val="18"/>
          <w:szCs w:val="18"/>
        </w:rPr>
        <w:t xml:space="preserve"> 2. </w:t>
      </w:r>
      <w:r w:rsidR="002445A8">
        <w:rPr>
          <w:color w:val="000000" w:themeColor="text1"/>
          <w:sz w:val="18"/>
          <w:szCs w:val="18"/>
        </w:rPr>
        <w:t xml:space="preserve">Schematic </w:t>
      </w:r>
      <w:r w:rsidR="002445A8" w:rsidRPr="00626D46">
        <w:rPr>
          <w:color w:val="000000" w:themeColor="text1"/>
          <w:sz w:val="18"/>
          <w:szCs w:val="18"/>
        </w:rPr>
        <w:t xml:space="preserve">a) </w:t>
      </w:r>
      <w:r w:rsidR="00D53C1B" w:rsidRPr="00626D46">
        <w:rPr>
          <w:sz w:val="18"/>
          <w:szCs w:val="18"/>
          <w:lang w:eastAsia="zh-CN"/>
        </w:rPr>
        <w:t>of</w:t>
      </w:r>
      <w:r w:rsidR="00F15329" w:rsidRPr="00626D46">
        <w:rPr>
          <w:sz w:val="18"/>
          <w:szCs w:val="18"/>
          <w:lang w:eastAsia="zh-CN"/>
        </w:rPr>
        <w:t xml:space="preserve"> </w:t>
      </w:r>
      <w:r w:rsidR="002445A8">
        <w:rPr>
          <w:sz w:val="18"/>
          <w:szCs w:val="18"/>
          <w:lang w:eastAsia="zh-CN"/>
        </w:rPr>
        <w:t xml:space="preserve">the </w:t>
      </w:r>
      <w:r w:rsidR="00F15329" w:rsidRPr="00626D46">
        <w:rPr>
          <w:sz w:val="18"/>
          <w:szCs w:val="18"/>
          <w:lang w:eastAsia="zh-CN"/>
        </w:rPr>
        <w:t>2-stage</w:t>
      </w:r>
      <w:r w:rsidR="00D53C1B" w:rsidRPr="00626D46">
        <w:rPr>
          <w:sz w:val="18"/>
          <w:szCs w:val="18"/>
          <w:lang w:eastAsia="zh-CN"/>
        </w:rPr>
        <w:t xml:space="preserve"> sub-quarter wavelength </w:t>
      </w:r>
      <w:proofErr w:type="spellStart"/>
      <w:r w:rsidR="00D53C1B" w:rsidRPr="00626D46">
        <w:rPr>
          <w:sz w:val="18"/>
          <w:szCs w:val="18"/>
          <w:lang w:eastAsia="zh-CN"/>
        </w:rPr>
        <w:t>balun</w:t>
      </w:r>
      <w:proofErr w:type="spellEnd"/>
      <w:r w:rsidR="00D53C1B" w:rsidRPr="00626D46">
        <w:rPr>
          <w:sz w:val="18"/>
          <w:szCs w:val="18"/>
          <w:lang w:eastAsia="zh-CN"/>
        </w:rPr>
        <w:t xml:space="preserve"> amplifier</w:t>
      </w:r>
      <w:r w:rsidR="00C973DD" w:rsidRPr="00626D46">
        <w:rPr>
          <w:sz w:val="18"/>
          <w:szCs w:val="18"/>
          <w:lang w:eastAsia="zh-CN"/>
        </w:rPr>
        <w:t xml:space="preserve">, b) </w:t>
      </w:r>
      <w:r w:rsidR="003048E1">
        <w:rPr>
          <w:sz w:val="18"/>
          <w:szCs w:val="18"/>
          <w:lang w:eastAsia="zh-CN"/>
        </w:rPr>
        <w:t>i</w:t>
      </w:r>
      <w:r w:rsidR="003048E1" w:rsidRPr="00626D46">
        <w:rPr>
          <w:sz w:val="18"/>
          <w:szCs w:val="18"/>
          <w:lang w:eastAsia="zh-CN"/>
        </w:rPr>
        <w:t xml:space="preserve">nput </w:t>
      </w:r>
      <w:r w:rsidR="00C973DD" w:rsidRPr="00626D46">
        <w:rPr>
          <w:sz w:val="18"/>
          <w:szCs w:val="18"/>
          <w:lang w:eastAsia="zh-CN"/>
        </w:rPr>
        <w:t xml:space="preserve">matching network, c) </w:t>
      </w:r>
      <w:r w:rsidR="003048E1">
        <w:rPr>
          <w:sz w:val="18"/>
          <w:szCs w:val="18"/>
          <w:lang w:eastAsia="zh-CN"/>
        </w:rPr>
        <w:t xml:space="preserve">and </w:t>
      </w:r>
      <w:r w:rsidR="00C973DD" w:rsidRPr="00626D46">
        <w:rPr>
          <w:sz w:val="18"/>
          <w:szCs w:val="18"/>
          <w:lang w:eastAsia="zh-CN"/>
        </w:rPr>
        <w:t xml:space="preserve">current mirror </w:t>
      </w:r>
      <w:r w:rsidR="002445A8">
        <w:rPr>
          <w:sz w:val="18"/>
          <w:szCs w:val="18"/>
          <w:lang w:eastAsia="zh-CN"/>
        </w:rPr>
        <w:t xml:space="preserve">biasing, through the input </w:t>
      </w:r>
      <w:proofErr w:type="spellStart"/>
      <w:r w:rsidR="002445A8">
        <w:rPr>
          <w:sz w:val="18"/>
          <w:szCs w:val="18"/>
          <w:lang w:eastAsia="zh-CN"/>
        </w:rPr>
        <w:t>baluns</w:t>
      </w:r>
      <w:proofErr w:type="spellEnd"/>
      <w:r w:rsidR="002445A8">
        <w:rPr>
          <w:sz w:val="18"/>
          <w:szCs w:val="18"/>
          <w:lang w:eastAsia="zh-CN"/>
        </w:rPr>
        <w:t xml:space="preserve">, the </w:t>
      </w:r>
      <w:r w:rsidR="00C973DD" w:rsidRPr="00626D46">
        <w:rPr>
          <w:sz w:val="18"/>
          <w:szCs w:val="18"/>
          <w:lang w:eastAsia="zh-CN"/>
        </w:rPr>
        <w:t>base</w:t>
      </w:r>
      <w:r w:rsidR="002445A8">
        <w:rPr>
          <w:sz w:val="18"/>
          <w:szCs w:val="18"/>
          <w:lang w:eastAsia="zh-CN"/>
        </w:rPr>
        <w:t xml:space="preserve">s of the </w:t>
      </w:r>
      <w:r w:rsidR="00C973DD" w:rsidRPr="00626D46">
        <w:rPr>
          <w:sz w:val="18"/>
          <w:szCs w:val="18"/>
          <w:lang w:eastAsia="zh-CN"/>
        </w:rPr>
        <w:t>8-finger power cell</w:t>
      </w:r>
      <w:r w:rsidR="002445A8">
        <w:rPr>
          <w:sz w:val="18"/>
          <w:szCs w:val="18"/>
          <w:lang w:eastAsia="zh-CN"/>
        </w:rPr>
        <w:t>s</w:t>
      </w:r>
      <w:r w:rsidR="00B21305">
        <w:rPr>
          <w:sz w:val="18"/>
          <w:szCs w:val="18"/>
          <w:lang w:eastAsia="zh-CN"/>
        </w:rPr>
        <w:t xml:space="preserve"> </w:t>
      </w:r>
      <w:r w:rsidR="002445A8">
        <w:rPr>
          <w:sz w:val="18"/>
          <w:szCs w:val="18"/>
          <w:lang w:eastAsia="zh-CN"/>
        </w:rPr>
        <w:t>.</w:t>
      </w:r>
    </w:p>
    <w:p w:rsidR="00336FE5" w:rsidRDefault="00336FE5" w:rsidP="00AA392E">
      <w:pPr>
        <w:pStyle w:val="Text"/>
        <w:ind w:firstLine="202"/>
        <w:jc w:val="center"/>
        <w:rPr>
          <w:rFonts w:ascii="Arial" w:hAnsi="Arial" w:cs="Arial"/>
          <w:sz w:val="16"/>
          <w:szCs w:val="16"/>
          <w:lang w:eastAsia="zh-CN"/>
        </w:rPr>
      </w:pPr>
    </w:p>
    <w:p w:rsidR="00AC526D" w:rsidRDefault="006F139D" w:rsidP="00061437">
      <w:pPr>
        <w:pStyle w:val="Textfixedspace"/>
        <w:rPr>
          <w:color w:val="000000" w:themeColor="text1"/>
        </w:rPr>
      </w:pPr>
      <w:r w:rsidRPr="00061437">
        <w:t>The large</w:t>
      </w:r>
      <w:r w:rsidR="00336FE5" w:rsidRPr="00061437">
        <w:t xml:space="preserve"> </w:t>
      </w:r>
      <w:r w:rsidRPr="00061437">
        <w:t>bandwidth</w:t>
      </w:r>
      <w:r w:rsidR="002445A8">
        <w:t>, under small-signal operation, here</w:t>
      </w:r>
      <w:r w:rsidRPr="00061437">
        <w:t xml:space="preserve"> </w:t>
      </w:r>
      <w:r w:rsidR="00B53BD9" w:rsidRPr="00061437">
        <w:t xml:space="preserve">demonstrated is </w:t>
      </w:r>
      <w:r w:rsidR="002445A8">
        <w:t xml:space="preserve">a consequence both of the high transistor </w:t>
      </w:r>
      <w:r w:rsidR="00471253">
        <w:t>bandwidth</w:t>
      </w:r>
      <w:r w:rsidR="002445A8">
        <w:t xml:space="preserve"> and of the specific power-combiner used. In typical corporate-combined power amplifiers, the combining networks limit the bandwidth to </w:t>
      </w:r>
      <w:r w:rsidR="0001110B">
        <w:t xml:space="preserve">well below the limits inherent with the transistor. In contrast, with the series-combined designs reported here, each transistor is loaded with 25 </w:t>
      </w:r>
      <w:r w:rsidR="0001110B" w:rsidRPr="00061437">
        <w:rPr>
          <w:rFonts w:ascii="Symbol" w:hAnsi="Symbol"/>
        </w:rPr>
        <w:t></w:t>
      </w:r>
      <w:r w:rsidR="0001110B">
        <w:t xml:space="preserve">, in parallel with a shunt tuning inductance selected to resonate the transistor output </w:t>
      </w:r>
      <w:r w:rsidR="00471253">
        <w:t>capacitance</w:t>
      </w:r>
      <w:r w:rsidR="0001110B">
        <w:t xml:space="preserve"> at the design frequency. </w:t>
      </w:r>
      <w:r w:rsidR="002445A8">
        <w:t xml:space="preserve"> </w:t>
      </w:r>
      <w:r w:rsidR="0001110B">
        <w:t xml:space="preserve">The transistor load impedance is selected so that </w:t>
      </w:r>
      <w:r w:rsidR="00AC526D">
        <w:t xml:space="preserve">25 </w:t>
      </w:r>
      <w:r w:rsidR="00AC526D" w:rsidRPr="00784AC4">
        <w:rPr>
          <w:rFonts w:ascii="Symbol" w:hAnsi="Symbol"/>
        </w:rPr>
        <w:t></w:t>
      </w:r>
      <w:r w:rsidR="00AC526D">
        <w:t xml:space="preserve"> =</w:t>
      </w:r>
      <w:r w:rsidR="00AC526D" w:rsidRPr="00061437">
        <w:rPr>
          <w:position w:val="-10"/>
        </w:rPr>
        <w:object w:dxaOrig="135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5pt;height:15pt" o:ole="">
            <v:imagedata r:id="rId11" o:title=""/>
          </v:shape>
          <o:OLEObject Type="Embed" ProgID="Equation.3" ShapeID="_x0000_i1025" DrawAspect="Content" ObjectID="_1530717933" r:id="rId12"/>
        </w:object>
      </w:r>
      <w:r w:rsidR="00AC526D">
        <w:t xml:space="preserve">, where </w:t>
      </w:r>
      <w:r w:rsidR="00AC526D" w:rsidRPr="00061437">
        <w:rPr>
          <w:position w:val="-10"/>
        </w:rPr>
        <w:object w:dxaOrig="360" w:dyaOrig="300">
          <v:shape id="_x0000_i1026" type="#_x0000_t75" style="width:17.85pt;height:15pt" o:ole="">
            <v:imagedata r:id="rId13" o:title=""/>
          </v:shape>
          <o:OLEObject Type="Embed" ProgID="Equation.3" ShapeID="_x0000_i1026" DrawAspect="Content" ObjectID="_1530717934" r:id="rId14"/>
        </w:object>
      </w:r>
      <w:r w:rsidR="00AC526D">
        <w:t xml:space="preserve">and </w:t>
      </w:r>
      <w:r w:rsidR="00AC526D" w:rsidRPr="00061437">
        <w:rPr>
          <w:position w:val="-10"/>
        </w:rPr>
        <w:object w:dxaOrig="340" w:dyaOrig="300">
          <v:shape id="_x0000_i1027" type="#_x0000_t75" style="width:17.3pt;height:15pt" o:ole="">
            <v:imagedata r:id="rId15" o:title=""/>
          </v:shape>
          <o:OLEObject Type="Embed" ProgID="Equation.3" ShapeID="_x0000_i1027" DrawAspect="Content" ObjectID="_1530717935" r:id="rId16"/>
        </w:object>
      </w:r>
      <w:r w:rsidR="00AC526D">
        <w:t xml:space="preserve">are set close to the transistor breakdown and   minimum (Kirk-effect) voltages, and </w:t>
      </w:r>
      <w:r w:rsidR="00AC526D" w:rsidRPr="00061437">
        <w:rPr>
          <w:position w:val="-10"/>
        </w:rPr>
        <w:object w:dxaOrig="340" w:dyaOrig="300">
          <v:shape id="_x0000_i1028" type="#_x0000_t75" style="width:17.3pt;height:15pt" o:ole="">
            <v:imagedata r:id="rId17" o:title=""/>
          </v:shape>
          <o:OLEObject Type="Embed" ProgID="Equation.3" ShapeID="_x0000_i1028" DrawAspect="Content" ObjectID="_1530717936" r:id="rId18"/>
        </w:object>
      </w:r>
      <w:r w:rsidR="00AC526D">
        <w:t xml:space="preserve"> to the maximum safe transistor currents. The transistor output capacitance is, approximately</w:t>
      </w:r>
      <w:proofErr w:type="gramStart"/>
      <w:r w:rsidR="00AC526D">
        <w:t xml:space="preserve">, </w:t>
      </w:r>
      <w:proofErr w:type="gramEnd"/>
      <w:r w:rsidR="00AC526D" w:rsidRPr="00061437">
        <w:rPr>
          <w:position w:val="-10"/>
        </w:rPr>
        <w:object w:dxaOrig="300" w:dyaOrig="300">
          <v:shape id="_x0000_i1029" type="#_x0000_t75" style="width:15pt;height:15pt" o:ole="">
            <v:imagedata r:id="rId19" o:title=""/>
          </v:shape>
          <o:OLEObject Type="Embed" ProgID="Equation.3" ShapeID="_x0000_i1029" DrawAspect="Content" ObjectID="_1530717937" r:id="rId20"/>
        </w:object>
      </w:r>
      <w:r w:rsidR="00AC526D">
        <w:t xml:space="preserve">, hence the output network can be modeled as in </w:t>
      </w:r>
      <w:r w:rsidR="00B53BD9" w:rsidRPr="00061437">
        <w:rPr>
          <w:color w:val="000000" w:themeColor="text1"/>
        </w:rPr>
        <w:t>Figure 3</w:t>
      </w:r>
      <w:r w:rsidR="00AC526D">
        <w:rPr>
          <w:color w:val="000000" w:themeColor="text1"/>
        </w:rPr>
        <w:t>.  This RLC network has a 3dB-</w:t>
      </w:r>
      <w:proofErr w:type="gramStart"/>
      <w:r w:rsidR="00AC526D">
        <w:rPr>
          <w:color w:val="000000" w:themeColor="text1"/>
        </w:rPr>
        <w:t xml:space="preserve">bandwidth </w:t>
      </w:r>
      <w:proofErr w:type="gramEnd"/>
      <w:r w:rsidR="00344AEE" w:rsidRPr="00061437">
        <w:rPr>
          <w:color w:val="000000" w:themeColor="text1"/>
          <w:position w:val="-12"/>
        </w:rPr>
        <w:object w:dxaOrig="2520" w:dyaOrig="320">
          <v:shape id="_x0000_i1030" type="#_x0000_t75" style="width:126.15pt;height:16.15pt" o:ole="">
            <v:imagedata r:id="rId21" o:title=""/>
          </v:shape>
          <o:OLEObject Type="Embed" ProgID="Equation.3" ShapeID="_x0000_i1030" DrawAspect="Content" ObjectID="_1530717938" r:id="rId22"/>
        </w:object>
      </w:r>
      <w:r w:rsidR="00AC526D">
        <w:rPr>
          <w:color w:val="000000" w:themeColor="text1"/>
        </w:rPr>
        <w:t xml:space="preserve">.  </w:t>
      </w:r>
      <w:r w:rsidR="00CB4CE5" w:rsidRPr="00061437">
        <w:rPr>
          <w:color w:val="000000" w:themeColor="text1"/>
          <w:position w:val="-10"/>
        </w:rPr>
        <w:object w:dxaOrig="160" w:dyaOrig="300">
          <v:shape id="_x0000_i1031" type="#_x0000_t75" style="width:8.05pt;height:15pt" o:ole="">
            <v:imagedata r:id="rId23" o:title=""/>
          </v:shape>
          <o:OLEObject Type="Embed" ProgID="Equation.3" ShapeID="_x0000_i1031" DrawAspect="Content" ObjectID="_1530717939" r:id="rId24"/>
        </w:object>
      </w:r>
    </w:p>
    <w:p w:rsidR="00AC526D" w:rsidRDefault="00AC526D" w:rsidP="00061437">
      <w:pPr>
        <w:pStyle w:val="Textfixedspace"/>
        <w:rPr>
          <w:color w:val="000000" w:themeColor="text1"/>
        </w:rPr>
      </w:pPr>
      <w:r>
        <w:rPr>
          <w:color w:val="000000" w:themeColor="text1"/>
        </w:rPr>
        <w:t xml:space="preserve">It should be noted that the output tuning bandwidth </w:t>
      </w:r>
      <w:r w:rsidR="00FA68F8">
        <w:rPr>
          <w:color w:val="000000" w:themeColor="text1"/>
        </w:rPr>
        <w:t>estimated</w:t>
      </w:r>
      <w:r>
        <w:rPr>
          <w:color w:val="000000" w:themeColor="text1"/>
        </w:rPr>
        <w:t xml:space="preserve"> above is set entirely by the transistor technology.  </w:t>
      </w:r>
      <w:r w:rsidR="00C22DE5">
        <w:rPr>
          <w:color w:val="000000" w:themeColor="text1"/>
        </w:rPr>
        <w:t xml:space="preserve">In the Teledyne 130nm technology, </w:t>
      </w:r>
      <w:r w:rsidR="00377DF8" w:rsidRPr="00061437">
        <w:rPr>
          <w:color w:val="000000" w:themeColor="text1"/>
          <w:position w:val="-10"/>
        </w:rPr>
        <w:object w:dxaOrig="1700" w:dyaOrig="300">
          <v:shape id="_x0000_i1032" type="#_x0000_t75" style="width:84.65pt;height:15pt" o:ole="">
            <v:imagedata r:id="rId25" o:title=""/>
          </v:shape>
          <o:OLEObject Type="Embed" ProgID="Equation.3" ShapeID="_x0000_i1032" DrawAspect="Content" ObjectID="_1530717940" r:id="rId26"/>
        </w:object>
      </w:r>
      <w:r w:rsidR="00377DF8">
        <w:rPr>
          <w:color w:val="000000" w:themeColor="text1"/>
        </w:rPr>
        <w:t xml:space="preserve"> and </w:t>
      </w:r>
      <w:r w:rsidR="00377DF8" w:rsidRPr="00784AC4">
        <w:rPr>
          <w:color w:val="000000" w:themeColor="text1"/>
          <w:position w:val="-10"/>
        </w:rPr>
        <w:object w:dxaOrig="1620" w:dyaOrig="300">
          <v:shape id="_x0000_i1033" type="#_x0000_t75" style="width:81.2pt;height:15pt" o:ole="">
            <v:imagedata r:id="rId27" o:title=""/>
          </v:shape>
          <o:OLEObject Type="Embed" ProgID="Equation.3" ShapeID="_x0000_i1033" DrawAspect="Content" ObjectID="_1530717941" r:id="rId28"/>
        </w:object>
      </w:r>
      <w:r w:rsidR="00377DF8">
        <w:rPr>
          <w:color w:val="000000" w:themeColor="text1"/>
        </w:rPr>
        <w:t xml:space="preserve">where </w:t>
      </w:r>
      <w:r w:rsidR="00377DF8" w:rsidRPr="00061437">
        <w:rPr>
          <w:color w:val="000000" w:themeColor="text1"/>
          <w:position w:val="-10"/>
        </w:rPr>
        <w:object w:dxaOrig="260" w:dyaOrig="300">
          <v:shape id="_x0000_i1034" type="#_x0000_t75" style="width:12.65pt;height:15pt" o:ole="">
            <v:imagedata r:id="rId29" o:title=""/>
          </v:shape>
          <o:OLEObject Type="Embed" ProgID="Equation.3" ShapeID="_x0000_i1034" DrawAspect="Content" ObjectID="_1530717942" r:id="rId30"/>
        </w:object>
      </w:r>
      <w:r w:rsidR="00377DF8">
        <w:rPr>
          <w:color w:val="000000" w:themeColor="text1"/>
        </w:rPr>
        <w:t xml:space="preserve">is the emitter length. Setting </w:t>
      </w:r>
      <w:r w:rsidR="00377DF8" w:rsidRPr="00061437">
        <w:rPr>
          <w:color w:val="000000" w:themeColor="text1"/>
          <w:position w:val="-10"/>
        </w:rPr>
        <w:object w:dxaOrig="360" w:dyaOrig="300">
          <v:shape id="_x0000_i1035" type="#_x0000_t75" style="width:17.85pt;height:15pt" o:ole="">
            <v:imagedata r:id="rId31" o:title=""/>
          </v:shape>
          <o:OLEObject Type="Embed" ProgID="Equation.3" ShapeID="_x0000_i1035" DrawAspect="Content" ObjectID="_1530717943" r:id="rId32"/>
        </w:object>
      </w:r>
      <w:r w:rsidR="00377DF8">
        <w:rPr>
          <w:color w:val="000000" w:themeColor="text1"/>
        </w:rPr>
        <w:t xml:space="preserve">= 3.5 V and </w:t>
      </w:r>
      <w:r w:rsidR="00377DF8" w:rsidRPr="00061437">
        <w:rPr>
          <w:color w:val="000000" w:themeColor="text1"/>
          <w:position w:val="-10"/>
        </w:rPr>
        <w:object w:dxaOrig="340" w:dyaOrig="300">
          <v:shape id="_x0000_i1036" type="#_x0000_t75" style="width:17.3pt;height:15pt" o:ole="">
            <v:imagedata r:id="rId33" o:title=""/>
          </v:shape>
          <o:OLEObject Type="Embed" ProgID="Equation.3" ShapeID="_x0000_i1036" DrawAspect="Content" ObjectID="_1530717944" r:id="rId34"/>
        </w:object>
      </w:r>
      <w:r w:rsidR="00377DF8">
        <w:rPr>
          <w:color w:val="000000" w:themeColor="text1"/>
        </w:rPr>
        <w:t xml:space="preserve">= 0.5 V, we find </w:t>
      </w:r>
      <w:r w:rsidR="00344AEE" w:rsidRPr="00061437">
        <w:rPr>
          <w:color w:val="000000" w:themeColor="text1"/>
          <w:position w:val="-12"/>
        </w:rPr>
        <w:object w:dxaOrig="540" w:dyaOrig="320">
          <v:shape id="_x0000_i1037" type="#_x0000_t75" style="width:27.05pt;height:16.15pt" o:ole="">
            <v:imagedata r:id="rId35" o:title=""/>
          </v:shape>
          <o:OLEObject Type="Embed" ProgID="Equation.3" ShapeID="_x0000_i1037" DrawAspect="Content" ObjectID="_1530717945" r:id="rId36"/>
        </w:object>
      </w:r>
      <w:r w:rsidR="00377DF8">
        <w:rPr>
          <w:color w:val="000000" w:themeColor="text1"/>
        </w:rPr>
        <w:t>=130 GHz.</w:t>
      </w:r>
      <w:r w:rsidR="00344AEE">
        <w:rPr>
          <w:color w:val="000000" w:themeColor="text1"/>
        </w:rPr>
        <w:t xml:space="preserve"> Noting that the sharp 30 GHz low-frequency cutoff arises from a resonance between the balun inductance and the collector </w:t>
      </w:r>
      <w:r w:rsidR="00344AEE">
        <w:rPr>
          <w:color w:val="000000" w:themeColor="text1"/>
        </w:rPr>
        <w:t xml:space="preserve">power-supply bypass capacitance, the </w:t>
      </w:r>
      <w:r w:rsidR="00471253">
        <w:rPr>
          <w:color w:val="000000" w:themeColor="text1"/>
        </w:rPr>
        <w:t>measured</w:t>
      </w:r>
      <w:r w:rsidR="00344AEE">
        <w:rPr>
          <w:color w:val="000000" w:themeColor="text1"/>
        </w:rPr>
        <w:t xml:space="preserve"> amplifier bandwidth is close to that estimated for the output tuning network. </w:t>
      </w:r>
    </w:p>
    <w:p w:rsidR="00344AEE" w:rsidRDefault="00344AEE" w:rsidP="00061437">
      <w:pPr>
        <w:pStyle w:val="Textfixedspace"/>
        <w:rPr>
          <w:color w:val="000000" w:themeColor="text1"/>
        </w:rPr>
      </w:pPr>
      <w:r>
        <w:rPr>
          <w:color w:val="000000" w:themeColor="text1"/>
        </w:rPr>
        <w:t>The amplifier bandwidth is also limited by that of the input tuning network</w:t>
      </w:r>
      <w:r w:rsidR="00FA68F8">
        <w:rPr>
          <w:color w:val="000000" w:themeColor="text1"/>
        </w:rPr>
        <w:t xml:space="preserve"> (Fig. 2). Although the maximum feasible input tuning bandwidth </w:t>
      </w:r>
      <w:proofErr w:type="gramStart"/>
      <w:r w:rsidR="00FA68F8">
        <w:rPr>
          <w:color w:val="000000" w:themeColor="text1"/>
        </w:rPr>
        <w:t xml:space="preserve">is </w:t>
      </w:r>
      <w:proofErr w:type="gramEnd"/>
      <w:r w:rsidR="00FA68F8" w:rsidRPr="00061437">
        <w:rPr>
          <w:color w:val="000000" w:themeColor="text1"/>
          <w:position w:val="-12"/>
        </w:rPr>
        <w:object w:dxaOrig="1540" w:dyaOrig="320">
          <v:shape id="_x0000_i1038" type="#_x0000_t75" style="width:77.2pt;height:16.15pt" o:ole="">
            <v:imagedata r:id="rId37" o:title=""/>
          </v:shape>
          <o:OLEObject Type="Embed" ProgID="Equation.3" ShapeID="_x0000_i1038" DrawAspect="Content" ObjectID="_1530717946" r:id="rId38"/>
        </w:object>
      </w:r>
      <w:r w:rsidR="00FA68F8">
        <w:rPr>
          <w:color w:val="000000" w:themeColor="text1"/>
        </w:rPr>
        <w:t xml:space="preserve">, </w:t>
      </w:r>
      <w:r w:rsidR="00CB4CE5">
        <w:rPr>
          <w:color w:val="000000" w:themeColor="text1"/>
        </w:rPr>
        <w:t xml:space="preserve">&gt; 200 GHz in this technology, </w:t>
      </w:r>
      <w:r w:rsidR="00FA68F8">
        <w:rPr>
          <w:color w:val="000000" w:themeColor="text1"/>
        </w:rPr>
        <w:t xml:space="preserve">the input matching network employed uses only </w:t>
      </w:r>
      <w:r w:rsidR="00CB4CE5">
        <w:rPr>
          <w:color w:val="000000" w:themeColor="text1"/>
        </w:rPr>
        <w:t>three</w:t>
      </w:r>
      <w:r w:rsidR="00FA68F8">
        <w:rPr>
          <w:color w:val="000000" w:themeColor="text1"/>
        </w:rPr>
        <w:t xml:space="preserve"> </w:t>
      </w:r>
      <w:r w:rsidR="00CB4CE5" w:rsidRPr="00061437">
        <w:rPr>
          <w:i/>
          <w:color w:val="000000" w:themeColor="text1"/>
        </w:rPr>
        <w:t>LC</w:t>
      </w:r>
      <w:r w:rsidR="00CB4CE5">
        <w:rPr>
          <w:color w:val="000000" w:themeColor="text1"/>
        </w:rPr>
        <w:t xml:space="preserve"> </w:t>
      </w:r>
      <w:r w:rsidR="00FA68F8">
        <w:rPr>
          <w:color w:val="000000" w:themeColor="text1"/>
        </w:rPr>
        <w:t xml:space="preserve">sections, and its bandwidth </w:t>
      </w:r>
      <w:r w:rsidR="00CB4CE5">
        <w:rPr>
          <w:color w:val="000000" w:themeColor="text1"/>
        </w:rPr>
        <w:t xml:space="preserve">therefore </w:t>
      </w:r>
      <w:r w:rsidR="00FA68F8">
        <w:rPr>
          <w:color w:val="000000" w:themeColor="text1"/>
        </w:rPr>
        <w:t xml:space="preserve">falls well below this limit. </w:t>
      </w:r>
    </w:p>
    <w:p w:rsidR="00AC526D" w:rsidRDefault="00AC526D" w:rsidP="00061437">
      <w:pPr>
        <w:pStyle w:val="Textfixedspace"/>
        <w:rPr>
          <w:color w:val="000000" w:themeColor="text1"/>
        </w:rPr>
      </w:pPr>
    </w:p>
    <w:p w:rsidR="00336FE5" w:rsidRDefault="0001110B" w:rsidP="00061437">
      <w:pPr>
        <w:pStyle w:val="figure"/>
      </w:pPr>
      <w:r>
        <w:rPr>
          <w:noProof/>
        </w:rPr>
        <w:drawing>
          <wp:inline distT="0" distB="0" distL="0" distR="0" wp14:anchorId="71928E2A" wp14:editId="1E64E62F">
            <wp:extent cx="3200400" cy="560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C.jpg"/>
                    <pic:cNvPicPr/>
                  </pic:nvPicPr>
                  <pic:blipFill>
                    <a:blip r:embed="rId39">
                      <a:extLst>
                        <a:ext uri="{28A0092B-C50C-407E-A947-70E740481C1C}">
                          <a14:useLocalDpi xmlns:a14="http://schemas.microsoft.com/office/drawing/2010/main" val="0"/>
                        </a:ext>
                      </a:extLst>
                    </a:blip>
                    <a:stretch>
                      <a:fillRect/>
                    </a:stretch>
                  </pic:blipFill>
                  <pic:spPr>
                    <a:xfrm>
                      <a:off x="0" y="0"/>
                      <a:ext cx="3200400" cy="560070"/>
                    </a:xfrm>
                    <a:prstGeom prst="rect">
                      <a:avLst/>
                    </a:prstGeom>
                  </pic:spPr>
                </pic:pic>
              </a:graphicData>
            </a:graphic>
          </wp:inline>
        </w:drawing>
      </w:r>
    </w:p>
    <w:p w:rsidR="00336FE5" w:rsidRPr="00626D46" w:rsidRDefault="00626D46" w:rsidP="00263A5E">
      <w:pPr>
        <w:pStyle w:val="Text"/>
        <w:ind w:firstLine="202"/>
        <w:rPr>
          <w:sz w:val="18"/>
          <w:szCs w:val="18"/>
          <w:lang w:eastAsia="zh-CN"/>
        </w:rPr>
      </w:pPr>
      <w:r>
        <w:rPr>
          <w:color w:val="000000" w:themeColor="text1"/>
          <w:sz w:val="18"/>
          <w:szCs w:val="18"/>
        </w:rPr>
        <w:t>Fig.</w:t>
      </w:r>
      <w:r w:rsidR="00336FE5" w:rsidRPr="00626D46">
        <w:rPr>
          <w:color w:val="000000" w:themeColor="text1"/>
          <w:sz w:val="18"/>
          <w:szCs w:val="18"/>
        </w:rPr>
        <w:t xml:space="preserve"> 3. Equivalent circuit model for determining the maximum small-signal</w:t>
      </w:r>
      <w:r w:rsidR="00A833C8" w:rsidRPr="00626D46">
        <w:rPr>
          <w:color w:val="000000" w:themeColor="text1"/>
          <w:sz w:val="18"/>
          <w:szCs w:val="18"/>
        </w:rPr>
        <w:t xml:space="preserve"> output</w:t>
      </w:r>
      <w:r w:rsidR="00336FE5" w:rsidRPr="00626D46">
        <w:rPr>
          <w:color w:val="000000" w:themeColor="text1"/>
          <w:sz w:val="18"/>
          <w:szCs w:val="18"/>
        </w:rPr>
        <w:t xml:space="preserve"> bandwidth of a linear common emitter </w:t>
      </w:r>
      <w:r w:rsidR="00CB4CE5">
        <w:rPr>
          <w:color w:val="000000" w:themeColor="text1"/>
          <w:sz w:val="18"/>
          <w:szCs w:val="18"/>
        </w:rPr>
        <w:t xml:space="preserve">power </w:t>
      </w:r>
      <w:r w:rsidR="00336FE5" w:rsidRPr="00626D46">
        <w:rPr>
          <w:color w:val="000000" w:themeColor="text1"/>
          <w:sz w:val="18"/>
          <w:szCs w:val="18"/>
        </w:rPr>
        <w:t>amplifier</w:t>
      </w:r>
    </w:p>
    <w:p w:rsidR="00336FE5" w:rsidRPr="00336FE5" w:rsidRDefault="00336FE5" w:rsidP="00336FE5">
      <w:pPr>
        <w:pStyle w:val="Text"/>
        <w:ind w:firstLine="202"/>
        <w:jc w:val="center"/>
        <w:rPr>
          <w:rFonts w:ascii="Arial" w:hAnsi="Arial" w:cs="Arial"/>
          <w:sz w:val="16"/>
          <w:szCs w:val="16"/>
          <w:lang w:eastAsia="zh-CN"/>
        </w:rPr>
      </w:pPr>
    </w:p>
    <w:p w:rsidR="00561B78" w:rsidRDefault="00AD60B1" w:rsidP="00061437">
      <w:pPr>
        <w:pStyle w:val="Heading1"/>
        <w:rPr>
          <w:lang w:eastAsia="zh-CN"/>
        </w:rPr>
      </w:pPr>
      <w:r>
        <w:rPr>
          <w:color w:val="000000" w:themeColor="text1"/>
        </w:rPr>
        <w:tab/>
      </w:r>
      <w:r w:rsidR="00561B78">
        <w:rPr>
          <w:lang w:eastAsia="zh-CN"/>
        </w:rPr>
        <w:t>Experimental Results</w:t>
      </w:r>
    </w:p>
    <w:p w:rsidR="00561B78" w:rsidRDefault="006B1895" w:rsidP="006E1298">
      <w:pPr>
        <w:spacing w:after="0"/>
        <w:ind w:firstLine="202"/>
        <w:jc w:val="both"/>
        <w:rPr>
          <w:lang w:eastAsia="zh-CN"/>
        </w:rPr>
      </w:pPr>
      <w:r>
        <w:rPr>
          <w:lang w:eastAsia="zh-CN"/>
        </w:rPr>
        <w:t xml:space="preserve"> </w:t>
      </w:r>
      <w:r w:rsidR="00561B78">
        <w:rPr>
          <w:lang w:eastAsia="zh-CN"/>
        </w:rPr>
        <w:t xml:space="preserve">The </w:t>
      </w:r>
      <w:r w:rsidR="00DC1103">
        <w:rPr>
          <w:lang w:eastAsia="zh-CN"/>
        </w:rPr>
        <w:t>IC was tested for small signal gain a</w:t>
      </w:r>
      <w:r w:rsidR="001C0A2C">
        <w:rPr>
          <w:lang w:eastAsia="zh-CN"/>
        </w:rPr>
        <w:t xml:space="preserve">t Teledyne Scientific Company.  </w:t>
      </w:r>
      <w:r w:rsidR="0060097E">
        <w:rPr>
          <w:lang w:eastAsia="zh-CN"/>
        </w:rPr>
        <w:t xml:space="preserve">An Agilent 8510XF Vector Network Analyzer (VNA) was used to perform S-parameter measurements.  Probe tip LRRM calibration was performed with WinCal XE on a cascade calibration substrate.  The reference plane was set at the probe pads of the IC.  </w:t>
      </w:r>
    </w:p>
    <w:p w:rsidR="006B1895" w:rsidRPr="006F139D" w:rsidRDefault="006B1895" w:rsidP="006E1298">
      <w:pPr>
        <w:spacing w:after="0"/>
        <w:ind w:firstLine="202"/>
        <w:jc w:val="both"/>
        <w:rPr>
          <w:lang w:eastAsia="zh-CN"/>
        </w:rPr>
      </w:pPr>
      <w:r>
        <w:rPr>
          <w:lang w:eastAsia="zh-CN"/>
        </w:rPr>
        <w:t xml:space="preserve"> </w:t>
      </w:r>
      <w:r w:rsidR="0060097E">
        <w:rPr>
          <w:lang w:eastAsia="zh-CN"/>
        </w:rPr>
        <w:t>The small signal gain of the 2-st</w:t>
      </w:r>
      <w:r w:rsidR="00041AB1">
        <w:rPr>
          <w:lang w:eastAsia="zh-CN"/>
        </w:rPr>
        <w:t>age amplifier is shown in Fig. 3</w:t>
      </w:r>
      <w:r w:rsidR="0060097E">
        <w:rPr>
          <w:lang w:eastAsia="zh-CN"/>
        </w:rPr>
        <w:t>.  For the</w:t>
      </w:r>
      <w:r w:rsidR="009B0032">
        <w:rPr>
          <w:lang w:eastAsia="zh-CN"/>
        </w:rPr>
        <w:t xml:space="preserve">se </w:t>
      </w:r>
      <w:r w:rsidR="0060097E">
        <w:rPr>
          <w:lang w:eastAsia="zh-CN"/>
        </w:rPr>
        <w:t>measurement</w:t>
      </w:r>
      <w:r w:rsidR="009B0032">
        <w:rPr>
          <w:lang w:eastAsia="zh-CN"/>
        </w:rPr>
        <w:t>s</w:t>
      </w:r>
      <w:r w:rsidR="0060097E">
        <w:rPr>
          <w:lang w:eastAsia="zh-CN"/>
        </w:rPr>
        <w:t xml:space="preserve">, </w:t>
      </w:r>
      <w:r w:rsidR="009B0032">
        <w:rPr>
          <w:lang w:eastAsia="zh-CN"/>
        </w:rPr>
        <w:t>Ic = 360 mA and Vc =</w:t>
      </w:r>
      <w:r w:rsidR="000A6112">
        <w:rPr>
          <w:lang w:eastAsia="zh-CN"/>
        </w:rPr>
        <w:t xml:space="preserve"> 2.1</w:t>
      </w:r>
      <w:r w:rsidR="006E1298">
        <w:rPr>
          <w:lang w:eastAsia="zh-CN"/>
        </w:rPr>
        <w:t xml:space="preserve"> </w:t>
      </w:r>
      <w:r w:rsidR="00041AB1">
        <w:rPr>
          <w:lang w:eastAsia="zh-CN"/>
        </w:rPr>
        <w:t>V.  As shown in Fig. 3</w:t>
      </w:r>
      <w:r w:rsidR="009B0032">
        <w:rPr>
          <w:lang w:eastAsia="zh-CN"/>
        </w:rPr>
        <w:t>, the small signal gain at 60</w:t>
      </w:r>
      <w:r w:rsidR="006E1298">
        <w:rPr>
          <w:lang w:eastAsia="zh-CN"/>
        </w:rPr>
        <w:t xml:space="preserve"> </w:t>
      </w:r>
      <w:r w:rsidR="009B0032">
        <w:rPr>
          <w:lang w:eastAsia="zh-CN"/>
        </w:rPr>
        <w:t>GHz is 15</w:t>
      </w:r>
      <w:r w:rsidR="006E1298">
        <w:rPr>
          <w:lang w:eastAsia="zh-CN"/>
        </w:rPr>
        <w:t xml:space="preserve"> </w:t>
      </w:r>
      <w:r w:rsidR="009B0032">
        <w:rPr>
          <w:lang w:eastAsia="zh-CN"/>
        </w:rPr>
        <w:t>dB.  The 3</w:t>
      </w:r>
      <w:r w:rsidR="006E1298">
        <w:rPr>
          <w:lang w:eastAsia="zh-CN"/>
        </w:rPr>
        <w:t>-</w:t>
      </w:r>
      <w:r w:rsidR="009B0032">
        <w:rPr>
          <w:lang w:eastAsia="zh-CN"/>
        </w:rPr>
        <w:t>dB bandwidth extends from 26</w:t>
      </w:r>
      <w:r w:rsidR="006E1298">
        <w:rPr>
          <w:lang w:eastAsia="zh-CN"/>
        </w:rPr>
        <w:t xml:space="preserve"> </w:t>
      </w:r>
      <w:r w:rsidR="009B0032">
        <w:rPr>
          <w:lang w:eastAsia="zh-CN"/>
        </w:rPr>
        <w:t>GHz to 114</w:t>
      </w:r>
      <w:r w:rsidR="006E1298">
        <w:rPr>
          <w:lang w:eastAsia="zh-CN"/>
        </w:rPr>
        <w:t xml:space="preserve"> </w:t>
      </w:r>
      <w:r w:rsidR="009B0032">
        <w:rPr>
          <w:lang w:eastAsia="zh-CN"/>
        </w:rPr>
        <w:t>GHz with a local maximum of 18</w:t>
      </w:r>
      <w:r w:rsidR="006E1298">
        <w:rPr>
          <w:lang w:eastAsia="zh-CN"/>
        </w:rPr>
        <w:t xml:space="preserve"> </w:t>
      </w:r>
      <w:r w:rsidR="009B0032">
        <w:rPr>
          <w:lang w:eastAsia="zh-CN"/>
        </w:rPr>
        <w:t>dB</w:t>
      </w:r>
      <w:r w:rsidR="00633F26">
        <w:rPr>
          <w:lang w:eastAsia="zh-CN"/>
        </w:rPr>
        <w:t xml:space="preserve"> at 30</w:t>
      </w:r>
      <w:r w:rsidR="006E1298">
        <w:rPr>
          <w:lang w:eastAsia="zh-CN"/>
        </w:rPr>
        <w:t xml:space="preserve"> </w:t>
      </w:r>
      <w:r w:rsidR="00633F26">
        <w:rPr>
          <w:lang w:eastAsia="zh-CN"/>
        </w:rPr>
        <w:t>GHz.</w:t>
      </w:r>
      <w:r w:rsidR="00313CEA">
        <w:rPr>
          <w:lang w:eastAsia="zh-CN"/>
        </w:rPr>
        <w:t xml:space="preserve">  </w:t>
      </w:r>
      <w:r w:rsidR="006F139D">
        <w:rPr>
          <w:lang w:eastAsia="zh-CN"/>
        </w:rPr>
        <w:t>Figure 3b shows that the measured S</w:t>
      </w:r>
      <w:r w:rsidR="006F139D">
        <w:rPr>
          <w:vertAlign w:val="subscript"/>
          <w:lang w:eastAsia="zh-CN"/>
        </w:rPr>
        <w:t>11</w:t>
      </w:r>
      <w:r w:rsidR="006F139D">
        <w:rPr>
          <w:lang w:eastAsia="zh-CN"/>
        </w:rPr>
        <w:t xml:space="preserve"> and S</w:t>
      </w:r>
      <w:r w:rsidR="006F139D">
        <w:rPr>
          <w:vertAlign w:val="subscript"/>
          <w:lang w:eastAsia="zh-CN"/>
        </w:rPr>
        <w:t>22</w:t>
      </w:r>
      <w:r w:rsidR="006F139D">
        <w:rPr>
          <w:lang w:eastAsia="zh-CN"/>
        </w:rPr>
        <w:t xml:space="preserve"> data has been shifted upwards in frequency relative to the corresponding simulated data.</w:t>
      </w:r>
      <w:r w:rsidR="00F416BC">
        <w:rPr>
          <w:lang w:eastAsia="zh-CN"/>
        </w:rPr>
        <w:t xml:space="preserve">  </w:t>
      </w:r>
      <w:r w:rsidR="006F139D">
        <w:rPr>
          <w:lang w:eastAsia="zh-CN"/>
        </w:rPr>
        <w:t>We believe that this difference is caused by an error in modeling the IC interconnects, and not an issue with</w:t>
      </w:r>
      <w:r w:rsidR="00F416BC">
        <w:rPr>
          <w:lang w:eastAsia="zh-CN"/>
        </w:rPr>
        <w:t xml:space="preserve"> the device model because other IC’s designed in the same technology have demonstrated large-scale integration with very little difference between simulated and measured performance </w:t>
      </w:r>
      <w:r w:rsidR="006F139D">
        <w:rPr>
          <w:lang w:eastAsia="zh-CN"/>
        </w:rPr>
        <w:t>[3].</w:t>
      </w:r>
    </w:p>
    <w:p w:rsidR="00317611" w:rsidRDefault="00317611" w:rsidP="006E1298">
      <w:pPr>
        <w:spacing w:after="0"/>
        <w:ind w:firstLine="202"/>
        <w:jc w:val="both"/>
        <w:rPr>
          <w:lang w:eastAsia="zh-CN"/>
        </w:rPr>
      </w:pPr>
      <w:r>
        <w:rPr>
          <w:lang w:eastAsia="zh-CN"/>
        </w:rPr>
        <w:t>W-band o</w:t>
      </w:r>
      <w:r w:rsidR="00387F83">
        <w:rPr>
          <w:lang w:eastAsia="zh-CN"/>
        </w:rPr>
        <w:t xml:space="preserve">utput power measurements were taken using an Agilent N5242A PNA-X network analyzer with </w:t>
      </w:r>
      <w:r w:rsidR="00434212">
        <w:rPr>
          <w:lang w:eastAsia="zh-CN"/>
        </w:rPr>
        <w:t xml:space="preserve">WR-10 Oleson Microwave Laboratory frequency extending heads, followed by a Spacek Labs W-band power amplifier and WR-10 waveguide probes to sweep power at 80 GHz, 90 GHz, and 100GHz.  The resulting output power was measured through an attenuator with an HP power sensor and an Agilent E4418B Power Meter.  </w:t>
      </w:r>
      <w:r w:rsidR="00D27C05">
        <w:rPr>
          <w:lang w:eastAsia="zh-CN"/>
        </w:rPr>
        <w:t>The detected power was calibrated for the insertion loss of the probes, the source chain, and the attenuator.  The actual output power vs. nominal output power of the network analyzer and extending heads was also measured and calibrated into the recorded data for</w:t>
      </w:r>
      <w:r w:rsidR="00041AB1">
        <w:rPr>
          <w:lang w:eastAsia="zh-CN"/>
        </w:rPr>
        <w:t xml:space="preserve"> each measured frequency.  </w:t>
      </w:r>
    </w:p>
    <w:p w:rsidR="00387F83" w:rsidRDefault="00317611" w:rsidP="006E1298">
      <w:pPr>
        <w:spacing w:after="0"/>
        <w:ind w:firstLine="202"/>
        <w:jc w:val="both"/>
        <w:rPr>
          <w:lang w:eastAsia="zh-CN"/>
        </w:rPr>
      </w:pPr>
      <w:r>
        <w:rPr>
          <w:lang w:eastAsia="zh-CN"/>
        </w:rPr>
        <w:t xml:space="preserve">V-band measurements were taken using </w:t>
      </w:r>
      <w:r w:rsidR="00596803">
        <w:rPr>
          <w:lang w:eastAsia="zh-CN"/>
        </w:rPr>
        <w:t xml:space="preserve">an N5247A PNA-X network analyzer to generate an input signal, followed by a passive diode frequency tripler and a Spacek Labs V-band </w:t>
      </w:r>
      <w:r w:rsidR="00596803">
        <w:rPr>
          <w:lang w:eastAsia="zh-CN"/>
        </w:rPr>
        <w:lastRenderedPageBreak/>
        <w:t>amplifier and a variable attenuator to modulate input drive power.  The input drive power was tracked using a 20 dB directional coupler and an HP V-band power sensor and an Agilent E4418B Power Met</w:t>
      </w:r>
      <w:r w:rsidR="00006537">
        <w:rPr>
          <w:lang w:eastAsia="zh-CN"/>
        </w:rPr>
        <w:t xml:space="preserve">er.  Cascade DC-67 GHz probes were used, and a V-band power sensor and an HP </w:t>
      </w:r>
      <w:r w:rsidR="004F5944">
        <w:rPr>
          <w:lang w:eastAsia="zh-CN"/>
        </w:rPr>
        <w:t>437B power meter</w:t>
      </w:r>
      <w:r w:rsidR="00596803">
        <w:rPr>
          <w:lang w:eastAsia="zh-CN"/>
        </w:rPr>
        <w:t xml:space="preserve">.  </w:t>
      </w:r>
      <w:r w:rsidR="004F5944">
        <w:rPr>
          <w:lang w:eastAsia="zh-CN"/>
        </w:rPr>
        <w:t xml:space="preserve">The attenuation and coupling factor of the directional coupler and input/output cables were measured and calibrated into the measurement data.  </w:t>
      </w:r>
    </w:p>
    <w:p w:rsidR="00C41026" w:rsidRPr="00E6487C" w:rsidRDefault="00E55AF4" w:rsidP="00C41026">
      <w:pPr>
        <w:rPr>
          <w:noProof/>
        </w:rPr>
      </w:pPr>
      <w:r>
        <w:object w:dxaOrig="9840" w:dyaOrig="6280">
          <v:shape id="_x0000_i1039" type="#_x0000_t75" style="width:258.05pt;height:164.75pt" o:ole="">
            <v:imagedata r:id="rId40" o:title=""/>
          </v:shape>
          <o:OLEObject Type="Embed" ProgID="KGraph_Plot" ShapeID="_x0000_i1039" DrawAspect="Content" ObjectID="_1530717947" r:id="rId41"/>
        </w:object>
      </w:r>
    </w:p>
    <w:p w:rsidR="00C41026" w:rsidRDefault="00E55AF4" w:rsidP="00263A5E">
      <w:pPr>
        <w:ind w:firstLine="202"/>
        <w:jc w:val="both"/>
        <w:rPr>
          <w:rFonts w:ascii="Arial" w:hAnsi="Arial" w:cs="Arial"/>
          <w:noProof/>
          <w:sz w:val="16"/>
          <w:szCs w:val="16"/>
        </w:rPr>
      </w:pPr>
      <w:r>
        <w:object w:dxaOrig="9760" w:dyaOrig="9500">
          <v:shape id="_x0000_i1040" type="#_x0000_t75" style="width:244.8pt;height:239.6pt" o:ole="">
            <v:imagedata r:id="rId42" o:title=""/>
          </v:shape>
          <o:OLEObject Type="Embed" ProgID="KGraph_Plot" ShapeID="_x0000_i1040" DrawAspect="Content" ObjectID="_1530717948" r:id="rId43"/>
        </w:object>
      </w:r>
      <w:r w:rsidR="00C41026" w:rsidRPr="00626D46">
        <w:rPr>
          <w:noProof/>
          <w:sz w:val="18"/>
          <w:szCs w:val="18"/>
        </w:rPr>
        <w:t>Fig</w:t>
      </w:r>
      <w:r w:rsidR="00626D46">
        <w:rPr>
          <w:noProof/>
          <w:sz w:val="18"/>
          <w:szCs w:val="18"/>
        </w:rPr>
        <w:t>.</w:t>
      </w:r>
      <w:r w:rsidR="00C41026" w:rsidRPr="00626D46">
        <w:rPr>
          <w:noProof/>
          <w:sz w:val="18"/>
          <w:szCs w:val="18"/>
        </w:rPr>
        <w:t xml:space="preserve"> 4. a) Measured (black) and simulated (red) S</w:t>
      </w:r>
      <w:r w:rsidR="00C41026" w:rsidRPr="00626D46">
        <w:rPr>
          <w:noProof/>
          <w:sz w:val="18"/>
          <w:szCs w:val="18"/>
          <w:vertAlign w:val="subscript"/>
        </w:rPr>
        <w:t>21</w:t>
      </w:r>
      <w:r w:rsidR="00C41026" w:rsidRPr="00626D46">
        <w:rPr>
          <w:noProof/>
          <w:sz w:val="18"/>
          <w:szCs w:val="18"/>
        </w:rPr>
        <w:t xml:space="preserve"> b) Measured (solid) and simulated (dashed) S</w:t>
      </w:r>
      <w:r w:rsidR="00C41026" w:rsidRPr="00626D46">
        <w:rPr>
          <w:noProof/>
          <w:sz w:val="18"/>
          <w:szCs w:val="18"/>
          <w:vertAlign w:val="subscript"/>
        </w:rPr>
        <w:t>11</w:t>
      </w:r>
      <w:r w:rsidR="00C41026" w:rsidRPr="00626D46">
        <w:rPr>
          <w:noProof/>
          <w:sz w:val="18"/>
          <w:szCs w:val="18"/>
        </w:rPr>
        <w:t xml:space="preserve"> (black) and S</w:t>
      </w:r>
      <w:r w:rsidR="00C41026" w:rsidRPr="00626D46">
        <w:rPr>
          <w:noProof/>
          <w:sz w:val="18"/>
          <w:szCs w:val="18"/>
          <w:vertAlign w:val="subscript"/>
        </w:rPr>
        <w:t>22</w:t>
      </w:r>
      <w:r w:rsidR="00C41026" w:rsidRPr="00626D46">
        <w:rPr>
          <w:noProof/>
          <w:sz w:val="18"/>
          <w:szCs w:val="18"/>
        </w:rPr>
        <w:t xml:space="preserve"> (red).  Measured and simulated S</w:t>
      </w:r>
      <w:r w:rsidR="00C41026" w:rsidRPr="00626D46">
        <w:rPr>
          <w:noProof/>
          <w:sz w:val="18"/>
          <w:szCs w:val="18"/>
          <w:vertAlign w:val="subscript"/>
        </w:rPr>
        <w:t>12</w:t>
      </w:r>
      <w:r w:rsidR="00C41026" w:rsidRPr="00626D46">
        <w:rPr>
          <w:noProof/>
          <w:sz w:val="18"/>
          <w:szCs w:val="18"/>
        </w:rPr>
        <w:t xml:space="preserve"> is lower than -30 dB at all frequencies.</w:t>
      </w:r>
      <w:r w:rsidR="00C41026">
        <w:rPr>
          <w:rFonts w:ascii="Arial" w:hAnsi="Arial" w:cs="Arial"/>
          <w:noProof/>
          <w:sz w:val="16"/>
          <w:szCs w:val="16"/>
        </w:rPr>
        <w:t xml:space="preserve">  </w:t>
      </w:r>
    </w:p>
    <w:p w:rsidR="00C41026" w:rsidRDefault="00C41026" w:rsidP="006E1298">
      <w:pPr>
        <w:spacing w:after="0"/>
        <w:ind w:firstLine="202"/>
        <w:jc w:val="both"/>
        <w:rPr>
          <w:lang w:eastAsia="zh-CN"/>
        </w:rPr>
      </w:pPr>
    </w:p>
    <w:p w:rsidR="00487300" w:rsidRDefault="00E6388C" w:rsidP="006E1298">
      <w:pPr>
        <w:spacing w:after="0"/>
        <w:ind w:firstLine="202"/>
        <w:jc w:val="both"/>
        <w:rPr>
          <w:lang w:eastAsia="zh-CN"/>
        </w:rPr>
      </w:pPr>
      <w:r>
        <w:rPr>
          <w:lang w:eastAsia="zh-CN"/>
        </w:rPr>
        <w:t xml:space="preserve">For </w:t>
      </w:r>
      <w:r w:rsidRPr="00061437">
        <w:rPr>
          <w:i/>
          <w:lang w:eastAsia="zh-CN"/>
        </w:rPr>
        <w:t>P</w:t>
      </w:r>
      <w:r w:rsidRPr="00061437">
        <w:rPr>
          <w:vertAlign w:val="subscript"/>
          <w:lang w:eastAsia="zh-CN"/>
        </w:rPr>
        <w:t>in</w:t>
      </w:r>
      <w:r>
        <w:rPr>
          <w:lang w:eastAsia="zh-CN"/>
        </w:rPr>
        <w:t xml:space="preserve"> vs. </w:t>
      </w:r>
      <w:r w:rsidRPr="00061437">
        <w:rPr>
          <w:i/>
          <w:lang w:eastAsia="zh-CN"/>
        </w:rPr>
        <w:t>P</w:t>
      </w:r>
      <w:r w:rsidRPr="00061437">
        <w:rPr>
          <w:vertAlign w:val="subscript"/>
          <w:lang w:eastAsia="zh-CN"/>
        </w:rPr>
        <w:t>out</w:t>
      </w:r>
      <w:r>
        <w:rPr>
          <w:lang w:eastAsia="zh-CN"/>
        </w:rPr>
        <w:t xml:space="preserve"> measurements, the a</w:t>
      </w:r>
      <w:r w:rsidR="004F5944">
        <w:rPr>
          <w:lang w:eastAsia="zh-CN"/>
        </w:rPr>
        <w:t>mplifier was biased with V = 2.24</w:t>
      </w:r>
      <w:r w:rsidR="006E1298">
        <w:rPr>
          <w:lang w:eastAsia="zh-CN"/>
        </w:rPr>
        <w:t xml:space="preserve"> </w:t>
      </w:r>
      <w:r w:rsidR="004F5944">
        <w:rPr>
          <w:lang w:eastAsia="zh-CN"/>
        </w:rPr>
        <w:t>V and Ic = 404</w:t>
      </w:r>
      <w:r w:rsidR="006E1298">
        <w:rPr>
          <w:lang w:eastAsia="zh-CN"/>
        </w:rPr>
        <w:t xml:space="preserve"> </w:t>
      </w:r>
      <w:r>
        <w:rPr>
          <w:lang w:eastAsia="zh-CN"/>
        </w:rPr>
        <w:t>m</w:t>
      </w:r>
      <w:r w:rsidR="004F5944">
        <w:rPr>
          <w:lang w:eastAsia="zh-CN"/>
        </w:rPr>
        <w:t>A.  Measurements were made in W-band at 80 GHz, 90 GHz, and 100 GHz</w:t>
      </w:r>
      <w:r w:rsidR="007C40F6">
        <w:rPr>
          <w:lang w:eastAsia="zh-CN"/>
        </w:rPr>
        <w:t>.  V-band measurements were performed</w:t>
      </w:r>
      <w:r w:rsidR="004F5944">
        <w:rPr>
          <w:lang w:eastAsia="zh-CN"/>
        </w:rPr>
        <w:t xml:space="preserve"> at 50 GHz, 55 GHz, 60 GHz, and 65 GHz</w:t>
      </w:r>
      <w:r w:rsidR="00D53C1B">
        <w:rPr>
          <w:lang w:eastAsia="zh-CN"/>
        </w:rPr>
        <w:t>.</w:t>
      </w:r>
      <w:r w:rsidR="004F5944">
        <w:rPr>
          <w:lang w:eastAsia="zh-CN"/>
        </w:rPr>
        <w:t xml:space="preserve">  Figure shows </w:t>
      </w:r>
      <w:r w:rsidR="00001DD8">
        <w:rPr>
          <w:lang w:eastAsia="zh-CN"/>
        </w:rPr>
        <w:t>simulated and measured peak PAE and Gain vs. out</w:t>
      </w:r>
      <w:r w:rsidR="004315B2">
        <w:rPr>
          <w:lang w:eastAsia="zh-CN"/>
        </w:rPr>
        <w:t>put power at 55 GHz, 90 GHz, and</w:t>
      </w:r>
      <w:r w:rsidR="004E7197">
        <w:rPr>
          <w:lang w:eastAsia="zh-CN"/>
        </w:rPr>
        <w:t xml:space="preserve"> 100 GHz</w:t>
      </w:r>
      <w:r w:rsidR="00001DD8">
        <w:rPr>
          <w:lang w:eastAsia="zh-CN"/>
        </w:rPr>
        <w:t xml:space="preserve">.  Figure </w:t>
      </w:r>
      <w:r w:rsidR="007C40F6">
        <w:rPr>
          <w:lang w:eastAsia="zh-CN"/>
        </w:rPr>
        <w:t>6</w:t>
      </w:r>
      <w:r w:rsidR="006F139D">
        <w:rPr>
          <w:lang w:eastAsia="zh-CN"/>
        </w:rPr>
        <w:t xml:space="preserve"> </w:t>
      </w:r>
      <w:r w:rsidR="0053574A">
        <w:rPr>
          <w:lang w:eastAsia="zh-CN"/>
        </w:rPr>
        <w:t>shows Peak PAE and output power at the 3-dB compression point vs. fr</w:t>
      </w:r>
      <w:r w:rsidR="006F139D">
        <w:rPr>
          <w:lang w:eastAsia="zh-CN"/>
        </w:rPr>
        <w:t xml:space="preserve">equency.  </w:t>
      </w:r>
    </w:p>
    <w:p w:rsidR="004315B2" w:rsidRDefault="007F2897" w:rsidP="004758FC">
      <w:pPr>
        <w:spacing w:after="0"/>
        <w:ind w:firstLine="202"/>
        <w:jc w:val="both"/>
      </w:pPr>
      <w:r>
        <w:object w:dxaOrig="10520" w:dyaOrig="6420">
          <v:shape id="_x0000_i1041" type="#_x0000_t75" style="width:257.45pt;height:155.5pt" o:ole="">
            <v:imagedata r:id="rId44" o:title=""/>
          </v:shape>
          <o:OLEObject Type="Embed" ProgID="KGraph_Plot" ShapeID="_x0000_i1041" DrawAspect="Content" ObjectID="_1530717949" r:id="rId45"/>
        </w:object>
      </w:r>
    </w:p>
    <w:p w:rsidR="00FD5D98" w:rsidRDefault="00061437" w:rsidP="004758FC">
      <w:pPr>
        <w:spacing w:after="0"/>
        <w:ind w:firstLine="202"/>
        <w:jc w:val="both"/>
      </w:pPr>
      <w:r>
        <w:object w:dxaOrig="10480" w:dyaOrig="6360">
          <v:shape id="_x0000_i1149" type="#_x0000_t75" style="width:257.45pt;height:154.95pt" o:ole="">
            <v:imagedata r:id="rId46" o:title=""/>
          </v:shape>
          <o:OLEObject Type="Embed" ProgID="KGraph_Plot" ShapeID="_x0000_i1149" DrawAspect="Content" ObjectID="_1530717950" r:id="rId47"/>
        </w:object>
      </w:r>
    </w:p>
    <w:p w:rsidR="004E541A" w:rsidRDefault="004315B2" w:rsidP="006E1298">
      <w:pPr>
        <w:spacing w:after="0"/>
        <w:ind w:firstLine="202"/>
        <w:jc w:val="both"/>
      </w:pPr>
      <w:r>
        <w:object w:dxaOrig="10480" w:dyaOrig="6360">
          <v:shape id="_x0000_i1151" type="#_x0000_t75" style="width:257.45pt;height:154.95pt" o:ole="">
            <v:imagedata r:id="rId48" o:title=""/>
          </v:shape>
          <o:OLEObject Type="Embed" ProgID="KGraph_Plot" ShapeID="_x0000_i1151" DrawAspect="Content" ObjectID="_1530717951" r:id="rId49"/>
        </w:object>
      </w:r>
    </w:p>
    <w:p w:rsidR="00FD5D98" w:rsidRPr="00626D46" w:rsidRDefault="00986C39" w:rsidP="007C40F6">
      <w:pPr>
        <w:spacing w:after="0"/>
        <w:ind w:firstLine="202"/>
        <w:jc w:val="both"/>
        <w:rPr>
          <w:sz w:val="18"/>
          <w:szCs w:val="18"/>
        </w:rPr>
      </w:pPr>
      <w:r w:rsidRPr="00626D46">
        <w:rPr>
          <w:noProof/>
          <w:sz w:val="18"/>
          <w:szCs w:val="18"/>
        </w:rPr>
        <w:t>Fig</w:t>
      </w:r>
      <w:r w:rsidR="00626D46" w:rsidRPr="00626D46">
        <w:rPr>
          <w:noProof/>
          <w:sz w:val="18"/>
          <w:szCs w:val="18"/>
        </w:rPr>
        <w:t>.</w:t>
      </w:r>
      <w:r w:rsidR="007C40F6" w:rsidRPr="00626D46">
        <w:rPr>
          <w:noProof/>
          <w:sz w:val="18"/>
          <w:szCs w:val="18"/>
        </w:rPr>
        <w:t xml:space="preserve"> 5</w:t>
      </w:r>
      <w:r w:rsidRPr="00626D46">
        <w:rPr>
          <w:noProof/>
          <w:sz w:val="18"/>
          <w:szCs w:val="18"/>
        </w:rPr>
        <w:t>. Measured (solid) and simulated (dashed) output power (red) and PAE (blue) vs. input power at a) 5</w:t>
      </w:r>
      <w:r w:rsidR="004E7197">
        <w:rPr>
          <w:noProof/>
          <w:sz w:val="18"/>
          <w:szCs w:val="18"/>
        </w:rPr>
        <w:t xml:space="preserve">5 GHz, b) </w:t>
      </w:r>
      <w:r w:rsidR="004315B2">
        <w:rPr>
          <w:noProof/>
          <w:sz w:val="18"/>
          <w:szCs w:val="18"/>
        </w:rPr>
        <w:t xml:space="preserve">90 GHz, c) </w:t>
      </w:r>
      <w:r w:rsidR="004E7197">
        <w:rPr>
          <w:noProof/>
          <w:sz w:val="18"/>
          <w:szCs w:val="18"/>
        </w:rPr>
        <w:t>10</w:t>
      </w:r>
      <w:r w:rsidR="00626D46">
        <w:rPr>
          <w:noProof/>
          <w:sz w:val="18"/>
          <w:szCs w:val="18"/>
        </w:rPr>
        <w:t>0 GHz</w:t>
      </w:r>
    </w:p>
    <w:tbl>
      <w:tblPr>
        <w:tblStyle w:val="TableGrid"/>
        <w:tblpPr w:leftFromText="187" w:rightFromText="187" w:vertAnchor="text" w:horzAnchor="margin" w:tblpY="163"/>
        <w:tblOverlap w:val="never"/>
        <w:tblW w:w="10029" w:type="dxa"/>
        <w:tblLayout w:type="fixed"/>
        <w:tblLook w:val="04A0" w:firstRow="1" w:lastRow="0" w:firstColumn="1" w:lastColumn="0" w:noHBand="0" w:noVBand="1"/>
      </w:tblPr>
      <w:tblGrid>
        <w:gridCol w:w="672"/>
        <w:gridCol w:w="1483"/>
        <w:gridCol w:w="750"/>
        <w:gridCol w:w="810"/>
        <w:gridCol w:w="824"/>
        <w:gridCol w:w="1126"/>
        <w:gridCol w:w="1170"/>
        <w:gridCol w:w="990"/>
        <w:gridCol w:w="2204"/>
      </w:tblGrid>
      <w:tr w:rsidR="00B053B8" w:rsidRPr="00526570" w:rsidTr="00B053B8">
        <w:tc>
          <w:tcPr>
            <w:tcW w:w="672" w:type="dxa"/>
          </w:tcPr>
          <w:p w:rsidR="00B053B8" w:rsidRPr="00041AB1" w:rsidRDefault="00B053B8" w:rsidP="00B053B8">
            <w:pPr>
              <w:jc w:val="center"/>
              <w:rPr>
                <w:sz w:val="18"/>
                <w:szCs w:val="18"/>
              </w:rPr>
            </w:pPr>
            <w:r w:rsidRPr="00041AB1">
              <w:rPr>
                <w:sz w:val="18"/>
                <w:szCs w:val="18"/>
              </w:rPr>
              <w:t>Ref.</w:t>
            </w:r>
          </w:p>
        </w:tc>
        <w:tc>
          <w:tcPr>
            <w:tcW w:w="1483" w:type="dxa"/>
          </w:tcPr>
          <w:p w:rsidR="00B053B8" w:rsidRPr="00041AB1" w:rsidRDefault="00B053B8" w:rsidP="00B053B8">
            <w:pPr>
              <w:jc w:val="center"/>
              <w:rPr>
                <w:sz w:val="18"/>
                <w:szCs w:val="18"/>
              </w:rPr>
            </w:pPr>
            <w:r w:rsidRPr="00041AB1">
              <w:rPr>
                <w:sz w:val="18"/>
                <w:szCs w:val="18"/>
              </w:rPr>
              <w:t>Technology</w:t>
            </w:r>
          </w:p>
        </w:tc>
        <w:tc>
          <w:tcPr>
            <w:tcW w:w="750" w:type="dxa"/>
          </w:tcPr>
          <w:p w:rsidR="00B053B8" w:rsidRPr="00041AB1" w:rsidRDefault="00B053B8" w:rsidP="00B053B8">
            <w:pPr>
              <w:jc w:val="center"/>
              <w:rPr>
                <w:sz w:val="18"/>
                <w:szCs w:val="18"/>
              </w:rPr>
            </w:pPr>
            <w:r w:rsidRPr="00041AB1">
              <w:rPr>
                <w:sz w:val="18"/>
                <w:szCs w:val="18"/>
              </w:rPr>
              <w:t>Freq. (GHz)</w:t>
            </w:r>
          </w:p>
        </w:tc>
        <w:tc>
          <w:tcPr>
            <w:tcW w:w="810" w:type="dxa"/>
          </w:tcPr>
          <w:p w:rsidR="00B053B8" w:rsidRPr="00041AB1" w:rsidRDefault="00B053B8" w:rsidP="00B053B8">
            <w:pPr>
              <w:jc w:val="center"/>
              <w:rPr>
                <w:sz w:val="18"/>
                <w:szCs w:val="18"/>
              </w:rPr>
            </w:pPr>
            <w:r w:rsidRPr="00041AB1">
              <w:rPr>
                <w:sz w:val="18"/>
                <w:szCs w:val="18"/>
              </w:rPr>
              <w:t>BW</w:t>
            </w:r>
            <w:r w:rsidRPr="00041AB1">
              <w:rPr>
                <w:sz w:val="18"/>
                <w:szCs w:val="18"/>
                <w:vertAlign w:val="subscript"/>
              </w:rPr>
              <w:t>3dB</w:t>
            </w:r>
            <w:r w:rsidRPr="00041AB1">
              <w:rPr>
                <w:sz w:val="18"/>
                <w:szCs w:val="18"/>
              </w:rPr>
              <w:t xml:space="preserve"> (GHz)</w:t>
            </w:r>
          </w:p>
        </w:tc>
        <w:tc>
          <w:tcPr>
            <w:tcW w:w="824" w:type="dxa"/>
          </w:tcPr>
          <w:p w:rsidR="00B053B8" w:rsidRPr="00041AB1" w:rsidRDefault="00B053B8" w:rsidP="00B053B8">
            <w:pPr>
              <w:jc w:val="center"/>
              <w:rPr>
                <w:sz w:val="18"/>
                <w:szCs w:val="18"/>
              </w:rPr>
            </w:pPr>
            <w:r w:rsidRPr="00041AB1">
              <w:rPr>
                <w:sz w:val="18"/>
                <w:szCs w:val="18"/>
              </w:rPr>
              <w:t>Max. S</w:t>
            </w:r>
            <w:r w:rsidRPr="00041AB1">
              <w:rPr>
                <w:sz w:val="18"/>
                <w:szCs w:val="18"/>
                <w:vertAlign w:val="subscript"/>
              </w:rPr>
              <w:t>21</w:t>
            </w:r>
            <w:r w:rsidRPr="00041AB1">
              <w:rPr>
                <w:sz w:val="18"/>
                <w:szCs w:val="18"/>
              </w:rPr>
              <w:t>(dB)</w:t>
            </w:r>
          </w:p>
        </w:tc>
        <w:tc>
          <w:tcPr>
            <w:tcW w:w="1126" w:type="dxa"/>
          </w:tcPr>
          <w:p w:rsidR="00B053B8" w:rsidRPr="00041AB1" w:rsidRDefault="00B053B8" w:rsidP="00B053B8">
            <w:pPr>
              <w:jc w:val="center"/>
              <w:rPr>
                <w:sz w:val="18"/>
                <w:szCs w:val="18"/>
              </w:rPr>
            </w:pPr>
            <w:r w:rsidRPr="00061437">
              <w:rPr>
                <w:i/>
                <w:sz w:val="18"/>
                <w:szCs w:val="18"/>
              </w:rPr>
              <w:t>P</w:t>
            </w:r>
            <w:r w:rsidRPr="00041AB1">
              <w:rPr>
                <w:sz w:val="18"/>
                <w:szCs w:val="18"/>
                <w:vertAlign w:val="subscript"/>
              </w:rPr>
              <w:t>out</w:t>
            </w:r>
            <w:r w:rsidRPr="00041AB1">
              <w:rPr>
                <w:sz w:val="18"/>
                <w:szCs w:val="18"/>
              </w:rPr>
              <w:t xml:space="preserve"> (dBm)</w:t>
            </w:r>
          </w:p>
        </w:tc>
        <w:tc>
          <w:tcPr>
            <w:tcW w:w="1170" w:type="dxa"/>
          </w:tcPr>
          <w:p w:rsidR="00B053B8" w:rsidRPr="00041AB1" w:rsidRDefault="00B053B8" w:rsidP="00B053B8">
            <w:pPr>
              <w:jc w:val="center"/>
              <w:rPr>
                <w:sz w:val="18"/>
                <w:szCs w:val="18"/>
              </w:rPr>
            </w:pPr>
            <w:r w:rsidRPr="00041AB1">
              <w:rPr>
                <w:sz w:val="18"/>
                <w:szCs w:val="18"/>
              </w:rPr>
              <w:t>Peak PAE (%)</w:t>
            </w:r>
          </w:p>
        </w:tc>
        <w:tc>
          <w:tcPr>
            <w:tcW w:w="990" w:type="dxa"/>
          </w:tcPr>
          <w:p w:rsidR="00B053B8" w:rsidRPr="00041AB1" w:rsidRDefault="00B053B8" w:rsidP="00B053B8">
            <w:pPr>
              <w:jc w:val="center"/>
              <w:rPr>
                <w:sz w:val="18"/>
                <w:szCs w:val="18"/>
              </w:rPr>
            </w:pPr>
            <w:r w:rsidRPr="00061437">
              <w:rPr>
                <w:i/>
                <w:sz w:val="18"/>
                <w:szCs w:val="18"/>
              </w:rPr>
              <w:t>V</w:t>
            </w:r>
            <w:r w:rsidRPr="00041AB1">
              <w:rPr>
                <w:sz w:val="18"/>
                <w:szCs w:val="18"/>
                <w:vertAlign w:val="subscript"/>
              </w:rPr>
              <w:t>DD</w:t>
            </w:r>
            <w:r w:rsidRPr="00041AB1">
              <w:rPr>
                <w:sz w:val="18"/>
                <w:szCs w:val="18"/>
              </w:rPr>
              <w:t xml:space="preserve"> or </w:t>
            </w:r>
            <w:r w:rsidRPr="00061437">
              <w:rPr>
                <w:i/>
                <w:sz w:val="18"/>
                <w:szCs w:val="18"/>
              </w:rPr>
              <w:t>V</w:t>
            </w:r>
            <w:r w:rsidRPr="00041AB1">
              <w:rPr>
                <w:sz w:val="18"/>
                <w:szCs w:val="18"/>
                <w:vertAlign w:val="subscript"/>
              </w:rPr>
              <w:t>CC</w:t>
            </w:r>
            <w:r w:rsidRPr="00041AB1">
              <w:rPr>
                <w:sz w:val="18"/>
                <w:szCs w:val="18"/>
              </w:rPr>
              <w:t xml:space="preserve"> (V)</w:t>
            </w:r>
          </w:p>
        </w:tc>
        <w:tc>
          <w:tcPr>
            <w:tcW w:w="2204" w:type="dxa"/>
          </w:tcPr>
          <w:p w:rsidR="00B053B8" w:rsidRPr="00041AB1" w:rsidRDefault="00B053B8" w:rsidP="00B053B8">
            <w:pPr>
              <w:jc w:val="center"/>
              <w:rPr>
                <w:sz w:val="18"/>
                <w:szCs w:val="18"/>
              </w:rPr>
            </w:pPr>
            <w:r w:rsidRPr="00041AB1">
              <w:rPr>
                <w:sz w:val="18"/>
                <w:szCs w:val="18"/>
              </w:rPr>
              <w:t>Topology</w:t>
            </w:r>
          </w:p>
        </w:tc>
      </w:tr>
      <w:tr w:rsidR="00B053B8" w:rsidRPr="00526570" w:rsidTr="00B053B8">
        <w:tc>
          <w:tcPr>
            <w:tcW w:w="672" w:type="dxa"/>
          </w:tcPr>
          <w:p w:rsidR="00B053B8" w:rsidRPr="00041AB1" w:rsidRDefault="00B053B8" w:rsidP="00B053B8">
            <w:pPr>
              <w:jc w:val="center"/>
              <w:rPr>
                <w:sz w:val="18"/>
                <w:szCs w:val="18"/>
              </w:rPr>
            </w:pPr>
            <w:r w:rsidRPr="00041AB1">
              <w:rPr>
                <w:sz w:val="18"/>
                <w:szCs w:val="18"/>
              </w:rPr>
              <w:t>[1]</w:t>
            </w:r>
          </w:p>
        </w:tc>
        <w:tc>
          <w:tcPr>
            <w:tcW w:w="1483" w:type="dxa"/>
          </w:tcPr>
          <w:p w:rsidR="00B053B8" w:rsidRPr="00041AB1" w:rsidRDefault="00B053B8" w:rsidP="00B053B8">
            <w:pPr>
              <w:jc w:val="center"/>
              <w:rPr>
                <w:sz w:val="18"/>
                <w:szCs w:val="18"/>
              </w:rPr>
            </w:pPr>
            <w:r w:rsidRPr="00041AB1">
              <w:rPr>
                <w:sz w:val="18"/>
                <w:szCs w:val="18"/>
              </w:rPr>
              <w:t>0.25</w:t>
            </w:r>
            <w:r w:rsidR="00F416BC">
              <w:rPr>
                <w:sz w:val="18"/>
                <w:szCs w:val="18"/>
              </w:rPr>
              <w:t xml:space="preserve"> μ</w:t>
            </w:r>
            <w:r w:rsidRPr="00041AB1">
              <w:rPr>
                <w:sz w:val="18"/>
                <w:szCs w:val="18"/>
              </w:rPr>
              <w:t>m InP HBT</w:t>
            </w:r>
          </w:p>
        </w:tc>
        <w:tc>
          <w:tcPr>
            <w:tcW w:w="750" w:type="dxa"/>
          </w:tcPr>
          <w:p w:rsidR="00B053B8" w:rsidRPr="00041AB1" w:rsidRDefault="00B053B8" w:rsidP="00B053B8">
            <w:pPr>
              <w:jc w:val="center"/>
              <w:rPr>
                <w:sz w:val="18"/>
                <w:szCs w:val="18"/>
              </w:rPr>
            </w:pPr>
            <w:r w:rsidRPr="00041AB1">
              <w:rPr>
                <w:sz w:val="18"/>
                <w:szCs w:val="18"/>
              </w:rPr>
              <w:t>86</w:t>
            </w:r>
          </w:p>
        </w:tc>
        <w:tc>
          <w:tcPr>
            <w:tcW w:w="810" w:type="dxa"/>
          </w:tcPr>
          <w:p w:rsidR="00B053B8" w:rsidRPr="00041AB1" w:rsidRDefault="00B053B8" w:rsidP="00B053B8">
            <w:pPr>
              <w:jc w:val="center"/>
              <w:rPr>
                <w:sz w:val="18"/>
                <w:szCs w:val="18"/>
              </w:rPr>
            </w:pPr>
            <w:r w:rsidRPr="00041AB1">
              <w:rPr>
                <w:sz w:val="18"/>
                <w:szCs w:val="18"/>
              </w:rPr>
              <w:t>23</w:t>
            </w:r>
          </w:p>
        </w:tc>
        <w:tc>
          <w:tcPr>
            <w:tcW w:w="824" w:type="dxa"/>
          </w:tcPr>
          <w:p w:rsidR="00B053B8" w:rsidRPr="00041AB1" w:rsidRDefault="00B053B8" w:rsidP="00B053B8">
            <w:pPr>
              <w:jc w:val="center"/>
              <w:rPr>
                <w:sz w:val="18"/>
                <w:szCs w:val="18"/>
              </w:rPr>
            </w:pPr>
            <w:r w:rsidRPr="00041AB1">
              <w:rPr>
                <w:sz w:val="18"/>
                <w:szCs w:val="18"/>
              </w:rPr>
              <w:t>9.4</w:t>
            </w:r>
          </w:p>
        </w:tc>
        <w:tc>
          <w:tcPr>
            <w:tcW w:w="1126" w:type="dxa"/>
          </w:tcPr>
          <w:p w:rsidR="00B053B8" w:rsidRPr="00041AB1" w:rsidRDefault="00B053B8" w:rsidP="00B053B8">
            <w:pPr>
              <w:jc w:val="center"/>
              <w:rPr>
                <w:sz w:val="18"/>
                <w:szCs w:val="18"/>
              </w:rPr>
            </w:pPr>
            <w:r w:rsidRPr="00041AB1">
              <w:rPr>
                <w:sz w:val="18"/>
                <w:szCs w:val="18"/>
              </w:rPr>
              <w:t>20.37</w:t>
            </w:r>
          </w:p>
        </w:tc>
        <w:tc>
          <w:tcPr>
            <w:tcW w:w="1170" w:type="dxa"/>
          </w:tcPr>
          <w:p w:rsidR="00B053B8" w:rsidRPr="00041AB1" w:rsidRDefault="00B053B8" w:rsidP="00B053B8">
            <w:pPr>
              <w:jc w:val="center"/>
              <w:rPr>
                <w:sz w:val="18"/>
                <w:szCs w:val="18"/>
              </w:rPr>
            </w:pPr>
            <w:r w:rsidRPr="00041AB1">
              <w:rPr>
                <w:sz w:val="18"/>
                <w:szCs w:val="18"/>
              </w:rPr>
              <w:t>30.4</w:t>
            </w:r>
          </w:p>
        </w:tc>
        <w:tc>
          <w:tcPr>
            <w:tcW w:w="990" w:type="dxa"/>
          </w:tcPr>
          <w:p w:rsidR="00B053B8" w:rsidRPr="00041AB1" w:rsidRDefault="00B053B8" w:rsidP="00B053B8">
            <w:pPr>
              <w:jc w:val="center"/>
              <w:rPr>
                <w:sz w:val="18"/>
                <w:szCs w:val="18"/>
              </w:rPr>
            </w:pPr>
            <w:r w:rsidRPr="00041AB1">
              <w:rPr>
                <w:sz w:val="18"/>
                <w:szCs w:val="18"/>
              </w:rPr>
              <w:t>2.5</w:t>
            </w:r>
          </w:p>
        </w:tc>
        <w:tc>
          <w:tcPr>
            <w:tcW w:w="2204" w:type="dxa"/>
          </w:tcPr>
          <w:p w:rsidR="00B053B8" w:rsidRPr="00041AB1" w:rsidRDefault="00B053B8" w:rsidP="00B053B8">
            <w:pPr>
              <w:jc w:val="center"/>
              <w:rPr>
                <w:sz w:val="18"/>
                <w:szCs w:val="18"/>
              </w:rPr>
            </w:pPr>
            <w:r w:rsidRPr="00041AB1">
              <w:rPr>
                <w:sz w:val="18"/>
                <w:szCs w:val="18"/>
              </w:rPr>
              <w:t>2-way Series-connected Power-combining Balun</w:t>
            </w:r>
          </w:p>
        </w:tc>
      </w:tr>
      <w:tr w:rsidR="00B053B8" w:rsidRPr="00526570" w:rsidTr="00B053B8">
        <w:tc>
          <w:tcPr>
            <w:tcW w:w="672" w:type="dxa"/>
          </w:tcPr>
          <w:p w:rsidR="00B053B8" w:rsidRPr="00041AB1" w:rsidRDefault="00631F69" w:rsidP="00B053B8">
            <w:pPr>
              <w:jc w:val="center"/>
              <w:rPr>
                <w:sz w:val="18"/>
                <w:szCs w:val="18"/>
              </w:rPr>
            </w:pPr>
            <w:r>
              <w:rPr>
                <w:sz w:val="18"/>
                <w:szCs w:val="18"/>
              </w:rPr>
              <w:t>[5</w:t>
            </w:r>
            <w:r w:rsidR="00B053B8" w:rsidRPr="00041AB1">
              <w:rPr>
                <w:sz w:val="18"/>
                <w:szCs w:val="18"/>
              </w:rPr>
              <w:t>]</w:t>
            </w:r>
          </w:p>
        </w:tc>
        <w:tc>
          <w:tcPr>
            <w:tcW w:w="1483" w:type="dxa"/>
          </w:tcPr>
          <w:p w:rsidR="00B053B8" w:rsidRPr="00041AB1" w:rsidRDefault="00F416BC" w:rsidP="00B053B8">
            <w:pPr>
              <w:jc w:val="center"/>
              <w:rPr>
                <w:sz w:val="18"/>
                <w:szCs w:val="18"/>
              </w:rPr>
            </w:pPr>
            <w:r>
              <w:rPr>
                <w:sz w:val="18"/>
                <w:szCs w:val="18"/>
              </w:rPr>
              <w:t>0.14 μ</w:t>
            </w:r>
            <w:r w:rsidR="00B053B8" w:rsidRPr="00041AB1">
              <w:rPr>
                <w:sz w:val="18"/>
                <w:szCs w:val="18"/>
              </w:rPr>
              <w:t>m GaN HEMT</w:t>
            </w:r>
          </w:p>
        </w:tc>
        <w:tc>
          <w:tcPr>
            <w:tcW w:w="750" w:type="dxa"/>
          </w:tcPr>
          <w:p w:rsidR="00B053B8" w:rsidRPr="00041AB1" w:rsidRDefault="00B053B8" w:rsidP="00B053B8">
            <w:pPr>
              <w:jc w:val="center"/>
              <w:rPr>
                <w:sz w:val="18"/>
                <w:szCs w:val="18"/>
              </w:rPr>
            </w:pPr>
            <w:r w:rsidRPr="00041AB1">
              <w:rPr>
                <w:sz w:val="18"/>
                <w:szCs w:val="18"/>
              </w:rPr>
              <w:t>90</w:t>
            </w:r>
          </w:p>
        </w:tc>
        <w:tc>
          <w:tcPr>
            <w:tcW w:w="810" w:type="dxa"/>
          </w:tcPr>
          <w:p w:rsidR="00B053B8" w:rsidRPr="00041AB1" w:rsidRDefault="00B053B8" w:rsidP="00B053B8">
            <w:pPr>
              <w:jc w:val="center"/>
              <w:rPr>
                <w:sz w:val="18"/>
                <w:szCs w:val="18"/>
              </w:rPr>
            </w:pPr>
            <w:r w:rsidRPr="00041AB1">
              <w:rPr>
                <w:sz w:val="18"/>
                <w:szCs w:val="18"/>
              </w:rPr>
              <w:t>35</w:t>
            </w:r>
          </w:p>
        </w:tc>
        <w:tc>
          <w:tcPr>
            <w:tcW w:w="824" w:type="dxa"/>
          </w:tcPr>
          <w:p w:rsidR="00B053B8" w:rsidRPr="00041AB1" w:rsidRDefault="00B053B8" w:rsidP="00B053B8">
            <w:pPr>
              <w:jc w:val="center"/>
              <w:rPr>
                <w:sz w:val="18"/>
                <w:szCs w:val="18"/>
              </w:rPr>
            </w:pPr>
            <w:r w:rsidRPr="00041AB1">
              <w:rPr>
                <w:sz w:val="18"/>
                <w:szCs w:val="18"/>
              </w:rPr>
              <w:t>21</w:t>
            </w:r>
          </w:p>
        </w:tc>
        <w:tc>
          <w:tcPr>
            <w:tcW w:w="1126" w:type="dxa"/>
          </w:tcPr>
          <w:p w:rsidR="00B053B8" w:rsidRPr="00041AB1" w:rsidRDefault="00B053B8" w:rsidP="00B053B8">
            <w:pPr>
              <w:jc w:val="center"/>
              <w:rPr>
                <w:sz w:val="18"/>
                <w:szCs w:val="18"/>
              </w:rPr>
            </w:pPr>
            <w:r w:rsidRPr="00041AB1">
              <w:rPr>
                <w:sz w:val="18"/>
                <w:szCs w:val="18"/>
              </w:rPr>
              <w:t>24.5</w:t>
            </w:r>
          </w:p>
        </w:tc>
        <w:tc>
          <w:tcPr>
            <w:tcW w:w="1170" w:type="dxa"/>
          </w:tcPr>
          <w:p w:rsidR="00B053B8" w:rsidRPr="00041AB1" w:rsidRDefault="00B053B8" w:rsidP="00B053B8">
            <w:pPr>
              <w:jc w:val="center"/>
              <w:rPr>
                <w:sz w:val="18"/>
                <w:szCs w:val="18"/>
              </w:rPr>
            </w:pPr>
            <w:r w:rsidRPr="00041AB1">
              <w:rPr>
                <w:sz w:val="18"/>
                <w:szCs w:val="18"/>
              </w:rPr>
              <w:t>13.2</w:t>
            </w:r>
          </w:p>
        </w:tc>
        <w:tc>
          <w:tcPr>
            <w:tcW w:w="990" w:type="dxa"/>
          </w:tcPr>
          <w:p w:rsidR="00B053B8" w:rsidRPr="00041AB1" w:rsidRDefault="00B053B8" w:rsidP="00B053B8">
            <w:pPr>
              <w:jc w:val="center"/>
              <w:rPr>
                <w:sz w:val="18"/>
                <w:szCs w:val="18"/>
              </w:rPr>
            </w:pPr>
            <w:r w:rsidRPr="00041AB1">
              <w:rPr>
                <w:sz w:val="18"/>
                <w:szCs w:val="18"/>
              </w:rPr>
              <w:t>12</w:t>
            </w:r>
          </w:p>
        </w:tc>
        <w:tc>
          <w:tcPr>
            <w:tcW w:w="2204" w:type="dxa"/>
          </w:tcPr>
          <w:p w:rsidR="00B053B8" w:rsidRPr="00041AB1" w:rsidRDefault="00B053B8" w:rsidP="00B053B8">
            <w:pPr>
              <w:jc w:val="center"/>
              <w:rPr>
                <w:sz w:val="18"/>
                <w:szCs w:val="18"/>
              </w:rPr>
            </w:pPr>
            <w:r w:rsidRPr="00041AB1">
              <w:rPr>
                <w:sz w:val="18"/>
                <w:szCs w:val="18"/>
              </w:rPr>
              <w:t>4-stage Balanced Amplifier</w:t>
            </w:r>
          </w:p>
        </w:tc>
      </w:tr>
      <w:tr w:rsidR="00B053B8" w:rsidRPr="00526570" w:rsidTr="00B053B8">
        <w:tc>
          <w:tcPr>
            <w:tcW w:w="672" w:type="dxa"/>
          </w:tcPr>
          <w:p w:rsidR="00B053B8" w:rsidRPr="00041AB1" w:rsidRDefault="00B053B8" w:rsidP="00631F69">
            <w:pPr>
              <w:jc w:val="center"/>
              <w:rPr>
                <w:sz w:val="18"/>
                <w:szCs w:val="18"/>
              </w:rPr>
            </w:pPr>
            <w:r w:rsidRPr="00041AB1">
              <w:rPr>
                <w:sz w:val="18"/>
                <w:szCs w:val="18"/>
              </w:rPr>
              <w:t>[</w:t>
            </w:r>
            <w:r w:rsidR="00631F69">
              <w:rPr>
                <w:sz w:val="18"/>
                <w:szCs w:val="18"/>
              </w:rPr>
              <w:t>6</w:t>
            </w:r>
            <w:r w:rsidRPr="00041AB1">
              <w:rPr>
                <w:sz w:val="18"/>
                <w:szCs w:val="18"/>
              </w:rPr>
              <w:t>]</w:t>
            </w:r>
          </w:p>
        </w:tc>
        <w:tc>
          <w:tcPr>
            <w:tcW w:w="1483" w:type="dxa"/>
          </w:tcPr>
          <w:p w:rsidR="00B053B8" w:rsidRPr="00041AB1" w:rsidRDefault="00B053B8" w:rsidP="00B053B8">
            <w:pPr>
              <w:jc w:val="center"/>
              <w:rPr>
                <w:sz w:val="18"/>
                <w:szCs w:val="18"/>
              </w:rPr>
            </w:pPr>
            <w:r w:rsidRPr="00041AB1">
              <w:rPr>
                <w:sz w:val="18"/>
                <w:szCs w:val="18"/>
              </w:rPr>
              <w:t>65</w:t>
            </w:r>
            <w:r w:rsidR="00F416BC">
              <w:rPr>
                <w:sz w:val="18"/>
                <w:szCs w:val="18"/>
              </w:rPr>
              <w:t xml:space="preserve"> </w:t>
            </w:r>
            <w:r w:rsidRPr="00041AB1">
              <w:rPr>
                <w:sz w:val="18"/>
                <w:szCs w:val="18"/>
              </w:rPr>
              <w:t>nm CMOS</w:t>
            </w:r>
          </w:p>
        </w:tc>
        <w:tc>
          <w:tcPr>
            <w:tcW w:w="750" w:type="dxa"/>
          </w:tcPr>
          <w:p w:rsidR="00B053B8" w:rsidRPr="00041AB1" w:rsidRDefault="00B053B8" w:rsidP="00B053B8">
            <w:pPr>
              <w:jc w:val="center"/>
              <w:rPr>
                <w:sz w:val="18"/>
                <w:szCs w:val="18"/>
              </w:rPr>
            </w:pPr>
            <w:r w:rsidRPr="00041AB1">
              <w:rPr>
                <w:sz w:val="18"/>
                <w:szCs w:val="18"/>
              </w:rPr>
              <w:t>94</w:t>
            </w:r>
          </w:p>
        </w:tc>
        <w:tc>
          <w:tcPr>
            <w:tcW w:w="810" w:type="dxa"/>
          </w:tcPr>
          <w:p w:rsidR="00B053B8" w:rsidRPr="00041AB1" w:rsidRDefault="00B053B8" w:rsidP="00B053B8">
            <w:pPr>
              <w:jc w:val="center"/>
              <w:rPr>
                <w:sz w:val="18"/>
                <w:szCs w:val="18"/>
              </w:rPr>
            </w:pPr>
            <w:r w:rsidRPr="00041AB1">
              <w:rPr>
                <w:sz w:val="18"/>
                <w:szCs w:val="18"/>
              </w:rPr>
              <w:t>33</w:t>
            </w:r>
          </w:p>
        </w:tc>
        <w:tc>
          <w:tcPr>
            <w:tcW w:w="824" w:type="dxa"/>
          </w:tcPr>
          <w:p w:rsidR="00B053B8" w:rsidRPr="00041AB1" w:rsidRDefault="00B053B8" w:rsidP="00B053B8">
            <w:pPr>
              <w:jc w:val="center"/>
              <w:rPr>
                <w:sz w:val="18"/>
                <w:szCs w:val="18"/>
              </w:rPr>
            </w:pPr>
            <w:r w:rsidRPr="00041AB1">
              <w:rPr>
                <w:sz w:val="18"/>
                <w:szCs w:val="18"/>
              </w:rPr>
              <w:t>18</w:t>
            </w:r>
          </w:p>
        </w:tc>
        <w:tc>
          <w:tcPr>
            <w:tcW w:w="1126" w:type="dxa"/>
          </w:tcPr>
          <w:p w:rsidR="00B053B8" w:rsidRPr="00041AB1" w:rsidRDefault="00B053B8" w:rsidP="00B053B8">
            <w:pPr>
              <w:jc w:val="center"/>
              <w:rPr>
                <w:sz w:val="18"/>
                <w:szCs w:val="18"/>
              </w:rPr>
            </w:pPr>
            <w:r w:rsidRPr="00041AB1">
              <w:rPr>
                <w:sz w:val="18"/>
                <w:szCs w:val="18"/>
              </w:rPr>
              <w:t>12</w:t>
            </w:r>
          </w:p>
        </w:tc>
        <w:tc>
          <w:tcPr>
            <w:tcW w:w="1170" w:type="dxa"/>
          </w:tcPr>
          <w:p w:rsidR="00B053B8" w:rsidRPr="00041AB1" w:rsidRDefault="00B053B8" w:rsidP="00B053B8">
            <w:pPr>
              <w:jc w:val="center"/>
              <w:rPr>
                <w:sz w:val="18"/>
                <w:szCs w:val="18"/>
              </w:rPr>
            </w:pPr>
            <w:r w:rsidRPr="00041AB1">
              <w:rPr>
                <w:sz w:val="18"/>
                <w:szCs w:val="18"/>
              </w:rPr>
              <w:t>4.5</w:t>
            </w:r>
          </w:p>
        </w:tc>
        <w:tc>
          <w:tcPr>
            <w:tcW w:w="990" w:type="dxa"/>
          </w:tcPr>
          <w:p w:rsidR="00B053B8" w:rsidRPr="00041AB1" w:rsidRDefault="00B053B8" w:rsidP="00B053B8">
            <w:pPr>
              <w:jc w:val="center"/>
              <w:rPr>
                <w:sz w:val="18"/>
                <w:szCs w:val="18"/>
              </w:rPr>
            </w:pPr>
            <w:r w:rsidRPr="00041AB1">
              <w:rPr>
                <w:sz w:val="18"/>
                <w:szCs w:val="18"/>
              </w:rPr>
              <w:t>1.2</w:t>
            </w:r>
          </w:p>
        </w:tc>
        <w:tc>
          <w:tcPr>
            <w:tcW w:w="2204" w:type="dxa"/>
          </w:tcPr>
          <w:p w:rsidR="00B053B8" w:rsidRPr="00041AB1" w:rsidRDefault="00B053B8" w:rsidP="00B053B8">
            <w:pPr>
              <w:jc w:val="center"/>
              <w:rPr>
                <w:sz w:val="18"/>
                <w:szCs w:val="18"/>
              </w:rPr>
            </w:pPr>
            <w:r w:rsidRPr="00041AB1">
              <w:rPr>
                <w:sz w:val="18"/>
                <w:szCs w:val="18"/>
              </w:rPr>
              <w:t>4-way Combining 6-stage CS</w:t>
            </w:r>
          </w:p>
        </w:tc>
      </w:tr>
      <w:tr w:rsidR="00B053B8" w:rsidRPr="00526570" w:rsidTr="00B053B8">
        <w:tc>
          <w:tcPr>
            <w:tcW w:w="672" w:type="dxa"/>
          </w:tcPr>
          <w:p w:rsidR="00B053B8" w:rsidRPr="00041AB1" w:rsidRDefault="00631F69" w:rsidP="00B053B8">
            <w:pPr>
              <w:jc w:val="center"/>
              <w:rPr>
                <w:sz w:val="18"/>
                <w:szCs w:val="18"/>
              </w:rPr>
            </w:pPr>
            <w:r>
              <w:rPr>
                <w:sz w:val="18"/>
                <w:szCs w:val="18"/>
              </w:rPr>
              <w:t>[7</w:t>
            </w:r>
            <w:r w:rsidR="00B053B8" w:rsidRPr="00041AB1">
              <w:rPr>
                <w:sz w:val="18"/>
                <w:szCs w:val="18"/>
              </w:rPr>
              <w:t>]</w:t>
            </w:r>
          </w:p>
        </w:tc>
        <w:tc>
          <w:tcPr>
            <w:tcW w:w="1483" w:type="dxa"/>
          </w:tcPr>
          <w:p w:rsidR="00B053B8" w:rsidRPr="00041AB1" w:rsidRDefault="00B053B8" w:rsidP="00B053B8">
            <w:pPr>
              <w:jc w:val="center"/>
              <w:rPr>
                <w:sz w:val="18"/>
                <w:szCs w:val="18"/>
              </w:rPr>
            </w:pPr>
            <w:r w:rsidRPr="00041AB1">
              <w:rPr>
                <w:sz w:val="18"/>
                <w:szCs w:val="18"/>
              </w:rPr>
              <w:t>0.15</w:t>
            </w:r>
            <w:r w:rsidR="00F416BC">
              <w:rPr>
                <w:sz w:val="18"/>
                <w:szCs w:val="18"/>
              </w:rPr>
              <w:t xml:space="preserve"> μ</w:t>
            </w:r>
            <w:r w:rsidRPr="00041AB1">
              <w:rPr>
                <w:sz w:val="18"/>
                <w:szCs w:val="18"/>
              </w:rPr>
              <w:t>m GaN T-Gate HEMT</w:t>
            </w:r>
          </w:p>
        </w:tc>
        <w:tc>
          <w:tcPr>
            <w:tcW w:w="750" w:type="dxa"/>
          </w:tcPr>
          <w:p w:rsidR="00B053B8" w:rsidRPr="00041AB1" w:rsidRDefault="00B053B8" w:rsidP="00B053B8">
            <w:pPr>
              <w:jc w:val="center"/>
              <w:rPr>
                <w:sz w:val="18"/>
                <w:szCs w:val="18"/>
              </w:rPr>
            </w:pPr>
            <w:r w:rsidRPr="00041AB1">
              <w:rPr>
                <w:sz w:val="18"/>
                <w:szCs w:val="18"/>
              </w:rPr>
              <w:t>91</w:t>
            </w:r>
          </w:p>
        </w:tc>
        <w:tc>
          <w:tcPr>
            <w:tcW w:w="810" w:type="dxa"/>
          </w:tcPr>
          <w:p w:rsidR="00B053B8" w:rsidRPr="00041AB1" w:rsidRDefault="00B053B8" w:rsidP="00B053B8">
            <w:pPr>
              <w:jc w:val="center"/>
              <w:rPr>
                <w:sz w:val="18"/>
                <w:szCs w:val="18"/>
              </w:rPr>
            </w:pPr>
            <w:r w:rsidRPr="00041AB1">
              <w:rPr>
                <w:sz w:val="18"/>
                <w:szCs w:val="18"/>
              </w:rPr>
              <w:t>~7</w:t>
            </w:r>
          </w:p>
        </w:tc>
        <w:tc>
          <w:tcPr>
            <w:tcW w:w="824" w:type="dxa"/>
          </w:tcPr>
          <w:p w:rsidR="00B053B8" w:rsidRPr="00041AB1" w:rsidRDefault="00B053B8" w:rsidP="00B053B8">
            <w:pPr>
              <w:jc w:val="center"/>
              <w:rPr>
                <w:sz w:val="18"/>
                <w:szCs w:val="18"/>
              </w:rPr>
            </w:pPr>
            <w:r w:rsidRPr="00041AB1">
              <w:rPr>
                <w:sz w:val="18"/>
                <w:szCs w:val="18"/>
              </w:rPr>
              <w:t>16</w:t>
            </w:r>
          </w:p>
        </w:tc>
        <w:tc>
          <w:tcPr>
            <w:tcW w:w="1126" w:type="dxa"/>
          </w:tcPr>
          <w:p w:rsidR="00B053B8" w:rsidRPr="00041AB1" w:rsidRDefault="00B053B8" w:rsidP="00B053B8">
            <w:pPr>
              <w:jc w:val="center"/>
              <w:rPr>
                <w:sz w:val="18"/>
                <w:szCs w:val="18"/>
              </w:rPr>
            </w:pPr>
            <w:r w:rsidRPr="00041AB1">
              <w:rPr>
                <w:sz w:val="18"/>
                <w:szCs w:val="18"/>
              </w:rPr>
              <w:t>31.2</w:t>
            </w:r>
          </w:p>
        </w:tc>
        <w:tc>
          <w:tcPr>
            <w:tcW w:w="1170" w:type="dxa"/>
          </w:tcPr>
          <w:p w:rsidR="00B053B8" w:rsidRPr="00041AB1" w:rsidRDefault="00B053B8" w:rsidP="00B053B8">
            <w:pPr>
              <w:jc w:val="center"/>
              <w:rPr>
                <w:sz w:val="18"/>
                <w:szCs w:val="18"/>
              </w:rPr>
            </w:pPr>
            <w:r w:rsidRPr="00041AB1">
              <w:rPr>
                <w:sz w:val="18"/>
                <w:szCs w:val="18"/>
              </w:rPr>
              <w:t>20</w:t>
            </w:r>
          </w:p>
        </w:tc>
        <w:tc>
          <w:tcPr>
            <w:tcW w:w="990" w:type="dxa"/>
          </w:tcPr>
          <w:p w:rsidR="00B053B8" w:rsidRPr="00041AB1" w:rsidRDefault="00B053B8" w:rsidP="00B053B8">
            <w:pPr>
              <w:jc w:val="center"/>
              <w:rPr>
                <w:sz w:val="18"/>
                <w:szCs w:val="18"/>
              </w:rPr>
            </w:pPr>
            <w:r w:rsidRPr="00041AB1">
              <w:rPr>
                <w:sz w:val="18"/>
                <w:szCs w:val="18"/>
              </w:rPr>
              <w:t>15</w:t>
            </w:r>
          </w:p>
        </w:tc>
        <w:tc>
          <w:tcPr>
            <w:tcW w:w="2204" w:type="dxa"/>
          </w:tcPr>
          <w:p w:rsidR="00B053B8" w:rsidRPr="00041AB1" w:rsidRDefault="00B053B8" w:rsidP="00B053B8">
            <w:pPr>
              <w:jc w:val="center"/>
              <w:rPr>
                <w:sz w:val="18"/>
                <w:szCs w:val="18"/>
              </w:rPr>
            </w:pPr>
            <w:r w:rsidRPr="00041AB1">
              <w:rPr>
                <w:sz w:val="18"/>
                <w:szCs w:val="18"/>
              </w:rPr>
              <w:t>3-stage</w:t>
            </w:r>
          </w:p>
        </w:tc>
      </w:tr>
      <w:tr w:rsidR="00B053B8" w:rsidRPr="00526570" w:rsidTr="00B053B8">
        <w:tc>
          <w:tcPr>
            <w:tcW w:w="672" w:type="dxa"/>
          </w:tcPr>
          <w:p w:rsidR="00B053B8" w:rsidRPr="00041AB1" w:rsidRDefault="00B053B8" w:rsidP="00B053B8">
            <w:pPr>
              <w:jc w:val="center"/>
              <w:rPr>
                <w:sz w:val="18"/>
                <w:szCs w:val="18"/>
              </w:rPr>
            </w:pPr>
            <w:r w:rsidRPr="00041AB1">
              <w:rPr>
                <w:sz w:val="18"/>
                <w:szCs w:val="18"/>
              </w:rPr>
              <w:t>This Work</w:t>
            </w:r>
          </w:p>
        </w:tc>
        <w:tc>
          <w:tcPr>
            <w:tcW w:w="1483" w:type="dxa"/>
          </w:tcPr>
          <w:p w:rsidR="00B053B8" w:rsidRPr="00041AB1" w:rsidRDefault="00B053B8" w:rsidP="00B053B8">
            <w:pPr>
              <w:jc w:val="center"/>
              <w:rPr>
                <w:sz w:val="18"/>
                <w:szCs w:val="18"/>
              </w:rPr>
            </w:pPr>
            <w:r w:rsidRPr="00041AB1">
              <w:rPr>
                <w:sz w:val="18"/>
                <w:szCs w:val="18"/>
              </w:rPr>
              <w:t>130</w:t>
            </w:r>
            <w:r w:rsidR="00F416BC">
              <w:rPr>
                <w:sz w:val="18"/>
                <w:szCs w:val="18"/>
              </w:rPr>
              <w:t xml:space="preserve"> </w:t>
            </w:r>
            <w:r w:rsidRPr="00041AB1">
              <w:rPr>
                <w:sz w:val="18"/>
                <w:szCs w:val="18"/>
              </w:rPr>
              <w:t>nm InP HBT</w:t>
            </w:r>
          </w:p>
        </w:tc>
        <w:tc>
          <w:tcPr>
            <w:tcW w:w="750" w:type="dxa"/>
          </w:tcPr>
          <w:p w:rsidR="00B053B8" w:rsidRPr="00041AB1" w:rsidRDefault="00B053B8" w:rsidP="00B053B8">
            <w:pPr>
              <w:jc w:val="center"/>
              <w:rPr>
                <w:sz w:val="18"/>
                <w:szCs w:val="18"/>
              </w:rPr>
            </w:pPr>
            <w:r w:rsidRPr="00041AB1">
              <w:rPr>
                <w:sz w:val="18"/>
                <w:szCs w:val="18"/>
              </w:rPr>
              <w:t>90</w:t>
            </w:r>
          </w:p>
        </w:tc>
        <w:tc>
          <w:tcPr>
            <w:tcW w:w="810" w:type="dxa"/>
            <w:shd w:val="clear" w:color="auto" w:fill="FFFFFF" w:themeFill="background1"/>
          </w:tcPr>
          <w:p w:rsidR="00B053B8" w:rsidRPr="00041AB1" w:rsidRDefault="00B053B8" w:rsidP="00B053B8">
            <w:pPr>
              <w:jc w:val="center"/>
              <w:rPr>
                <w:b/>
                <w:sz w:val="18"/>
                <w:szCs w:val="18"/>
              </w:rPr>
            </w:pPr>
            <w:r w:rsidRPr="00041AB1">
              <w:rPr>
                <w:b/>
                <w:sz w:val="18"/>
                <w:szCs w:val="18"/>
              </w:rPr>
              <w:t>90</w:t>
            </w:r>
          </w:p>
        </w:tc>
        <w:tc>
          <w:tcPr>
            <w:tcW w:w="824" w:type="dxa"/>
          </w:tcPr>
          <w:p w:rsidR="00B053B8" w:rsidRPr="00041AB1" w:rsidRDefault="00B053B8" w:rsidP="00B053B8">
            <w:pPr>
              <w:jc w:val="center"/>
              <w:rPr>
                <w:sz w:val="18"/>
                <w:szCs w:val="18"/>
              </w:rPr>
            </w:pPr>
            <w:r w:rsidRPr="00041AB1">
              <w:rPr>
                <w:sz w:val="18"/>
                <w:szCs w:val="18"/>
              </w:rPr>
              <w:t>15</w:t>
            </w:r>
          </w:p>
        </w:tc>
        <w:tc>
          <w:tcPr>
            <w:tcW w:w="1126" w:type="dxa"/>
          </w:tcPr>
          <w:p w:rsidR="00B053B8" w:rsidRPr="00041AB1" w:rsidRDefault="00B053B8" w:rsidP="00B053B8">
            <w:pPr>
              <w:jc w:val="center"/>
              <w:rPr>
                <w:sz w:val="18"/>
                <w:szCs w:val="18"/>
              </w:rPr>
            </w:pPr>
            <w:r w:rsidRPr="00041AB1">
              <w:rPr>
                <w:sz w:val="18"/>
                <w:szCs w:val="18"/>
              </w:rPr>
              <w:t>21.95</w:t>
            </w:r>
          </w:p>
        </w:tc>
        <w:tc>
          <w:tcPr>
            <w:tcW w:w="1170" w:type="dxa"/>
          </w:tcPr>
          <w:p w:rsidR="00B053B8" w:rsidRPr="00041AB1" w:rsidRDefault="00B053B8" w:rsidP="00B053B8">
            <w:pPr>
              <w:jc w:val="center"/>
              <w:rPr>
                <w:sz w:val="18"/>
                <w:szCs w:val="18"/>
              </w:rPr>
            </w:pPr>
            <w:r w:rsidRPr="00041AB1">
              <w:rPr>
                <w:sz w:val="18"/>
                <w:szCs w:val="18"/>
              </w:rPr>
              <w:t>14.7</w:t>
            </w:r>
          </w:p>
        </w:tc>
        <w:tc>
          <w:tcPr>
            <w:tcW w:w="990" w:type="dxa"/>
          </w:tcPr>
          <w:p w:rsidR="00B053B8" w:rsidRPr="00041AB1" w:rsidRDefault="00B053B8" w:rsidP="00B053B8">
            <w:pPr>
              <w:jc w:val="center"/>
              <w:rPr>
                <w:sz w:val="18"/>
                <w:szCs w:val="18"/>
              </w:rPr>
            </w:pPr>
            <w:r w:rsidRPr="00041AB1">
              <w:rPr>
                <w:sz w:val="18"/>
                <w:szCs w:val="18"/>
              </w:rPr>
              <w:t>2</w:t>
            </w:r>
          </w:p>
        </w:tc>
        <w:tc>
          <w:tcPr>
            <w:tcW w:w="2204" w:type="dxa"/>
          </w:tcPr>
          <w:p w:rsidR="00B053B8" w:rsidRPr="00041AB1" w:rsidRDefault="00B053B8" w:rsidP="00B053B8">
            <w:pPr>
              <w:jc w:val="center"/>
              <w:rPr>
                <w:sz w:val="18"/>
                <w:szCs w:val="18"/>
              </w:rPr>
            </w:pPr>
            <w:r w:rsidRPr="00041AB1">
              <w:rPr>
                <w:sz w:val="18"/>
                <w:szCs w:val="18"/>
              </w:rPr>
              <w:t>2-stage 2-way Series Connected Power combining Balun</w:t>
            </w:r>
          </w:p>
        </w:tc>
      </w:tr>
    </w:tbl>
    <w:p w:rsidR="00487300" w:rsidRDefault="00F948FD" w:rsidP="00487300">
      <w:pPr>
        <w:pStyle w:val="Heading1"/>
        <w:rPr>
          <w:lang w:eastAsia="zh-CN"/>
        </w:rPr>
      </w:pPr>
      <w:r>
        <w:rPr>
          <w:noProof/>
        </w:rPr>
        <mc:AlternateContent>
          <mc:Choice Requires="wps">
            <w:drawing>
              <wp:anchor distT="45720" distB="45720" distL="114300" distR="114300" simplePos="0" relativeHeight="251659264" behindDoc="0" locked="0" layoutInCell="1" allowOverlap="1" wp14:anchorId="3B8ECF2B" wp14:editId="70AE7D1C">
                <wp:simplePos x="0" y="0"/>
                <wp:positionH relativeFrom="margin">
                  <wp:align>left</wp:align>
                </wp:positionH>
                <wp:positionV relativeFrom="page">
                  <wp:posOffset>403225</wp:posOffset>
                </wp:positionV>
                <wp:extent cx="6362700" cy="41529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415290"/>
                        </a:xfrm>
                        <a:prstGeom prst="rect">
                          <a:avLst/>
                        </a:prstGeom>
                        <a:solidFill>
                          <a:srgbClr val="FFFFFF"/>
                        </a:solidFill>
                        <a:ln w="9525">
                          <a:solidFill>
                            <a:schemeClr val="bg1"/>
                          </a:solidFill>
                          <a:miter lim="800000"/>
                          <a:headEnd/>
                          <a:tailEnd/>
                        </a:ln>
                      </wps:spPr>
                      <wps:txbx>
                        <w:txbxContent>
                          <w:p w:rsidR="00F948FD" w:rsidRPr="00EC47A6" w:rsidRDefault="00F948FD" w:rsidP="00F948FD">
                            <w:pPr>
                              <w:pStyle w:val="Heading1"/>
                              <w:numPr>
                                <w:ilvl w:val="0"/>
                                <w:numId w:val="0"/>
                              </w:numPr>
                              <w:spacing w:before="0" w:after="0" w:line="240" w:lineRule="auto"/>
                              <w:rPr>
                                <w:sz w:val="24"/>
                                <w:szCs w:val="24"/>
                              </w:rPr>
                            </w:pPr>
                            <w:r w:rsidRPr="00EC47A6">
                              <w:rPr>
                                <w:sz w:val="24"/>
                                <w:szCs w:val="24"/>
                              </w:rPr>
                              <w:t xml:space="preserve">table </w:t>
                            </w:r>
                            <w:proofErr w:type="spellStart"/>
                            <w:r w:rsidRPr="00EC47A6">
                              <w:rPr>
                                <w:sz w:val="24"/>
                                <w:szCs w:val="24"/>
                              </w:rPr>
                              <w:t>i</w:t>
                            </w:r>
                            <w:proofErr w:type="spellEnd"/>
                          </w:p>
                          <w:p w:rsidR="00F948FD" w:rsidRPr="00EC47A6" w:rsidRDefault="00F948FD" w:rsidP="00F948FD">
                            <w:pPr>
                              <w:pStyle w:val="Heading1"/>
                              <w:numPr>
                                <w:ilvl w:val="0"/>
                                <w:numId w:val="0"/>
                              </w:numPr>
                              <w:spacing w:before="0" w:after="100" w:afterAutospacing="1" w:line="240" w:lineRule="auto"/>
                            </w:pPr>
                            <w:r w:rsidRPr="00EC47A6">
                              <w:t>Summary of broadband/high performance mm-wave power amplifiers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8ECF2B" id="_x0000_t202" coordsize="21600,21600" o:spt="202" path="m,l,21600r21600,l21600,xe">
                <v:stroke joinstyle="miter"/>
                <v:path gradientshapeok="t" o:connecttype="rect"/>
              </v:shapetype>
              <v:shape id="Text Box 2" o:spid="_x0000_s1026" type="#_x0000_t202" style="position:absolute;left:0;text-align:left;margin-left:0;margin-top:31.75pt;width:501pt;height:32.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" strokecolor="white [3212]">
                <v:textbox>
                  <w:txbxContent>
                    <w:p w:rsidR="00F948FD" w:rsidRPr="00EC47A6" w:rsidRDefault="00F948FD" w:rsidP="00F948FD">
                      <w:pPr>
                        <w:pStyle w:val="Heading1"/>
                        <w:numPr>
                          <w:ilvl w:val="0"/>
                          <w:numId w:val="0"/>
                        </w:numPr>
                        <w:spacing w:before="0" w:after="0" w:line="240" w:lineRule="auto"/>
                        <w:rPr>
                          <w:sz w:val="24"/>
                          <w:szCs w:val="24"/>
                        </w:rPr>
                      </w:pPr>
                      <w:r w:rsidRPr="00EC47A6">
                        <w:rPr>
                          <w:sz w:val="24"/>
                          <w:szCs w:val="24"/>
                        </w:rPr>
                        <w:t xml:space="preserve">table </w:t>
                      </w:r>
                      <w:proofErr w:type="spellStart"/>
                      <w:r w:rsidRPr="00EC47A6">
                        <w:rPr>
                          <w:sz w:val="24"/>
                          <w:szCs w:val="24"/>
                        </w:rPr>
                        <w:t>i</w:t>
                      </w:r>
                      <w:proofErr w:type="spellEnd"/>
                    </w:p>
                    <w:p w:rsidR="00F948FD" w:rsidRPr="00EC47A6" w:rsidRDefault="00F948FD" w:rsidP="00F948FD">
                      <w:pPr>
                        <w:pStyle w:val="Heading1"/>
                        <w:numPr>
                          <w:ilvl w:val="0"/>
                          <w:numId w:val="0"/>
                        </w:numPr>
                        <w:spacing w:before="0" w:after="100" w:afterAutospacing="1" w:line="240" w:lineRule="auto"/>
                      </w:pPr>
                      <w:r w:rsidRPr="00EC47A6">
                        <w:t>Summary of broadband/high performance mm-wave power amplifiers</w:t>
                      </w:r>
                    </w:p>
                  </w:txbxContent>
                </v:textbox>
                <w10:wrap type="square" anchorx="margin" anchory="page"/>
              </v:shape>
            </w:pict>
          </mc:Fallback>
        </mc:AlternateContent>
      </w:r>
      <w:r w:rsidR="00487300">
        <w:rPr>
          <w:lang w:eastAsia="zh-CN"/>
        </w:rPr>
        <w:t>Conclusion</w:t>
      </w:r>
    </w:p>
    <w:p w:rsidR="00487300" w:rsidRDefault="00487300" w:rsidP="006E1298">
      <w:pPr>
        <w:ind w:firstLine="202"/>
        <w:jc w:val="both"/>
        <w:rPr>
          <w:lang w:eastAsia="zh-CN"/>
        </w:rPr>
      </w:pPr>
      <w:r>
        <w:rPr>
          <w:lang w:eastAsia="zh-CN"/>
        </w:rPr>
        <w:t>High power, high efficiency power amplifier ICs in a 130</w:t>
      </w:r>
      <w:r w:rsidR="00A833C8">
        <w:rPr>
          <w:lang w:eastAsia="zh-CN"/>
        </w:rPr>
        <w:t xml:space="preserve"> </w:t>
      </w:r>
      <w:r>
        <w:rPr>
          <w:lang w:eastAsia="zh-CN"/>
        </w:rPr>
        <w:t>nm InP HBT technology are presented with a 90</w:t>
      </w:r>
      <w:r w:rsidR="00A833C8">
        <w:rPr>
          <w:lang w:eastAsia="zh-CN"/>
        </w:rPr>
        <w:t xml:space="preserve"> </w:t>
      </w:r>
      <w:r>
        <w:rPr>
          <w:lang w:eastAsia="zh-CN"/>
        </w:rPr>
        <w:t>GHz 3</w:t>
      </w:r>
      <w:r w:rsidR="00A833C8">
        <w:rPr>
          <w:lang w:eastAsia="zh-CN"/>
        </w:rPr>
        <w:t>-</w:t>
      </w:r>
      <w:r>
        <w:rPr>
          <w:lang w:eastAsia="zh-CN"/>
        </w:rPr>
        <w:t xml:space="preserve">dB </w:t>
      </w:r>
      <w:r w:rsidR="007C40F6">
        <w:rPr>
          <w:lang w:eastAsia="zh-CN"/>
        </w:rPr>
        <w:t xml:space="preserve">small-signal </w:t>
      </w:r>
      <w:r>
        <w:rPr>
          <w:lang w:eastAsia="zh-CN"/>
        </w:rPr>
        <w:t xml:space="preserve">bandwidth.  Large signal measurements </w:t>
      </w:r>
      <w:r w:rsidR="007C40F6">
        <w:rPr>
          <w:lang w:eastAsia="zh-CN"/>
        </w:rPr>
        <w:t>s</w:t>
      </w:r>
      <w:r w:rsidR="00A833C8">
        <w:rPr>
          <w:lang w:eastAsia="zh-CN"/>
        </w:rPr>
        <w:t xml:space="preserve">how a PAE larger than 8 </w:t>
      </w:r>
      <w:r w:rsidR="007C40F6">
        <w:rPr>
          <w:lang w:eastAsia="zh-CN"/>
        </w:rPr>
        <w:t>% and an output power larger than 16.5 dBm at 3-dB gain compression from 50 GHz to 100 GHz</w:t>
      </w:r>
      <w:r>
        <w:rPr>
          <w:lang w:eastAsia="zh-CN"/>
        </w:rPr>
        <w:t xml:space="preserve">.  To our knowledge, the </w:t>
      </w:r>
      <w:r w:rsidR="00626929">
        <w:rPr>
          <w:lang w:eastAsia="zh-CN"/>
        </w:rPr>
        <w:t>small signal 3</w:t>
      </w:r>
      <w:r w:rsidR="00A833C8">
        <w:rPr>
          <w:lang w:eastAsia="zh-CN"/>
        </w:rPr>
        <w:t>-</w:t>
      </w:r>
      <w:r w:rsidR="00626929">
        <w:rPr>
          <w:lang w:eastAsia="zh-CN"/>
        </w:rPr>
        <w:t>dB-</w:t>
      </w:r>
      <w:r>
        <w:rPr>
          <w:lang w:eastAsia="zh-CN"/>
        </w:rPr>
        <w:t>bandwidth of this</w:t>
      </w:r>
      <w:r w:rsidR="00626929">
        <w:rPr>
          <w:lang w:eastAsia="zh-CN"/>
        </w:rPr>
        <w:t xml:space="preserve"> PA</w:t>
      </w:r>
      <w:r w:rsidR="007C40F6">
        <w:rPr>
          <w:lang w:eastAsia="zh-CN"/>
        </w:rPr>
        <w:t xml:space="preserve"> is larger than </w:t>
      </w:r>
      <w:r w:rsidR="00AA2E2F">
        <w:rPr>
          <w:lang w:eastAsia="zh-CN"/>
        </w:rPr>
        <w:t xml:space="preserve">that of </w:t>
      </w:r>
      <w:r w:rsidR="007C40F6">
        <w:rPr>
          <w:lang w:eastAsia="zh-CN"/>
        </w:rPr>
        <w:t>any other published work with equivalent PAE or output power</w:t>
      </w:r>
      <w:r>
        <w:rPr>
          <w:lang w:eastAsia="zh-CN"/>
        </w:rPr>
        <w:t xml:space="preserve">.  </w:t>
      </w:r>
    </w:p>
    <w:p w:rsidR="004B700C" w:rsidRDefault="00E55AF4" w:rsidP="006F139D">
      <w:pPr>
        <w:ind w:firstLine="202"/>
        <w:jc w:val="both"/>
        <w:rPr>
          <w:lang w:eastAsia="zh-CN"/>
        </w:rPr>
      </w:pPr>
      <w:r>
        <w:object w:dxaOrig="10940" w:dyaOrig="6520">
          <v:shape id="_x0000_i1043" type="#_x0000_t75" style="width:248.25pt;height:147.45pt" o:ole="">
            <v:imagedata r:id="rId50" o:title=""/>
          </v:shape>
          <o:OLEObject Type="Embed" ProgID="KGraph_Plot" ShapeID="_x0000_i1043" DrawAspect="Content" ObjectID="_1530717952" r:id="rId51"/>
        </w:object>
      </w:r>
    </w:p>
    <w:p w:rsidR="001A7C63" w:rsidRPr="00626D46" w:rsidRDefault="00626D46" w:rsidP="00263A5E">
      <w:pPr>
        <w:ind w:firstLine="202"/>
        <w:jc w:val="both"/>
        <w:rPr>
          <w:sz w:val="18"/>
          <w:szCs w:val="18"/>
          <w:lang w:eastAsia="zh-CN"/>
        </w:rPr>
      </w:pPr>
      <w:r>
        <w:rPr>
          <w:sz w:val="18"/>
          <w:szCs w:val="18"/>
          <w:lang w:eastAsia="zh-CN"/>
        </w:rPr>
        <w:t>Fig.</w:t>
      </w:r>
      <w:r w:rsidR="007C40F6" w:rsidRPr="00626D46">
        <w:rPr>
          <w:sz w:val="18"/>
          <w:szCs w:val="18"/>
          <w:lang w:eastAsia="zh-CN"/>
        </w:rPr>
        <w:t xml:space="preserve"> 6</w:t>
      </w:r>
      <w:r w:rsidR="00C41026" w:rsidRPr="00626D46">
        <w:rPr>
          <w:sz w:val="18"/>
          <w:szCs w:val="18"/>
          <w:lang w:eastAsia="zh-CN"/>
        </w:rPr>
        <w:t xml:space="preserve">. Measured (solid) and simulated (dashed) </w:t>
      </w:r>
      <w:r w:rsidR="00994186" w:rsidRPr="00626D46">
        <w:rPr>
          <w:sz w:val="18"/>
          <w:szCs w:val="18"/>
          <w:lang w:eastAsia="zh-CN"/>
        </w:rPr>
        <w:t>output power at 3-dB gain compression (red) and peak PAE (blue) vs. frequency</w:t>
      </w:r>
    </w:p>
    <w:p w:rsidR="000E087C" w:rsidRDefault="00335FBC">
      <w:pPr>
        <w:pStyle w:val="Heading1"/>
        <w:spacing w:after="20"/>
        <w:ind w:left="360" w:hanging="360"/>
        <w:rPr>
          <w:color w:val="000000" w:themeColor="text1"/>
        </w:rPr>
      </w:pPr>
      <w:r w:rsidRPr="00AD00D6">
        <w:rPr>
          <w:color w:val="000000" w:themeColor="text1"/>
        </w:rPr>
        <w:t>Acknowledgment</w:t>
      </w:r>
    </w:p>
    <w:p w:rsidR="00EC47A6" w:rsidRPr="00EC47A6" w:rsidRDefault="004E7197" w:rsidP="00C6043A">
      <w:pPr>
        <w:ind w:firstLine="202"/>
        <w:jc w:val="both"/>
      </w:pPr>
      <w:r w:rsidRPr="004E7197">
        <w:t>This work was supported by DARPA CMO Contract</w:t>
      </w:r>
      <w:r w:rsidR="00C6043A">
        <w:t>s</w:t>
      </w:r>
      <w:r w:rsidRPr="004E7197">
        <w:t xml:space="preserve"> No. HR0011-09-C-0060</w:t>
      </w:r>
      <w:r w:rsidR="00C6043A">
        <w:t xml:space="preserve"> and No. </w:t>
      </w:r>
      <w:r w:rsidR="00C6043A" w:rsidRPr="00C6043A">
        <w:t>FA8650-14-1-7413</w:t>
      </w:r>
      <w:r w:rsidRPr="004E7197">
        <w:t>. The views, opinions and/or findings contained in this article are those of the authors and should not be interpreted as representing the official policies, either expressed or implied, of the Defense Advanced Research Projects Agency, or the Department of Defense.</w:t>
      </w:r>
      <w:r w:rsidR="00EC47A6">
        <w:t xml:space="preserve"> </w:t>
      </w:r>
      <w:r w:rsidR="00041AB1">
        <w:t>The author would like to thank Teledyne Scientific Company for their collaboration and for the IC’s fabrication.</w:t>
      </w:r>
    </w:p>
    <w:p w:rsidR="000E087C" w:rsidRDefault="00335FBC" w:rsidP="006E1298">
      <w:pPr>
        <w:pStyle w:val="Heading1"/>
        <w:numPr>
          <w:ilvl w:val="0"/>
          <w:numId w:val="0"/>
        </w:numPr>
        <w:spacing w:after="20"/>
        <w:ind w:left="360"/>
        <w:rPr>
          <w:color w:val="000000" w:themeColor="text1"/>
        </w:rPr>
      </w:pPr>
      <w:r w:rsidRPr="00AD00D6">
        <w:rPr>
          <w:color w:val="000000" w:themeColor="text1"/>
        </w:rPr>
        <w:t>REFERENCES</w:t>
      </w:r>
    </w:p>
    <w:p w:rsidR="000361D7" w:rsidRDefault="000361D7" w:rsidP="006E1298">
      <w:pPr>
        <w:spacing w:after="0"/>
        <w:ind w:left="360" w:hanging="360"/>
        <w:jc w:val="both"/>
        <w:rPr>
          <w:sz w:val="18"/>
          <w:szCs w:val="18"/>
        </w:rPr>
      </w:pPr>
      <w:r w:rsidRPr="00E62130">
        <w:rPr>
          <w:sz w:val="18"/>
          <w:szCs w:val="18"/>
        </w:rPr>
        <w:t>[1]</w:t>
      </w:r>
      <w:r w:rsidRPr="00E62130">
        <w:rPr>
          <w:sz w:val="18"/>
          <w:szCs w:val="18"/>
        </w:rPr>
        <w:tab/>
      </w:r>
      <w:r w:rsidR="00E62130" w:rsidRPr="00E62130">
        <w:rPr>
          <w:sz w:val="18"/>
          <w:szCs w:val="18"/>
        </w:rPr>
        <w:t>H. Park, S</w:t>
      </w:r>
      <w:r w:rsidR="00E62130">
        <w:rPr>
          <w:sz w:val="18"/>
          <w:szCs w:val="18"/>
        </w:rPr>
        <w:t xml:space="preserve">. Daneshgar, J. Rode, Z. Griffith, M. Urteaga, B. Kim, and M. Rodwell, “30% PAE W-band InP Power Amplifiers using Sub-quarter-wavelength Baluns for Series-connected Power-combining,” </w:t>
      </w:r>
      <w:r w:rsidR="000D1D63" w:rsidRPr="000D1D63">
        <w:rPr>
          <w:i/>
          <w:sz w:val="18"/>
          <w:szCs w:val="18"/>
        </w:rPr>
        <w:t xml:space="preserve">2013 </w:t>
      </w:r>
      <w:r w:rsidR="00E62130">
        <w:rPr>
          <w:i/>
          <w:sz w:val="18"/>
          <w:szCs w:val="18"/>
        </w:rPr>
        <w:t>IEEE Compound Semiconductor Integrated Circuit Symposium</w:t>
      </w:r>
      <w:r w:rsidR="00F15329">
        <w:rPr>
          <w:i/>
          <w:sz w:val="18"/>
          <w:szCs w:val="18"/>
        </w:rPr>
        <w:t xml:space="preserve"> (CSICS</w:t>
      </w:r>
      <w:r w:rsidR="00AE60D1">
        <w:rPr>
          <w:i/>
          <w:sz w:val="18"/>
          <w:szCs w:val="18"/>
        </w:rPr>
        <w:t>)</w:t>
      </w:r>
      <w:r w:rsidR="000D1D63">
        <w:rPr>
          <w:sz w:val="18"/>
          <w:szCs w:val="18"/>
        </w:rPr>
        <w:t xml:space="preserve">, </w:t>
      </w:r>
      <w:r w:rsidR="00B108AB">
        <w:rPr>
          <w:sz w:val="18"/>
          <w:szCs w:val="18"/>
        </w:rPr>
        <w:t xml:space="preserve">pp. 1-4, </w:t>
      </w:r>
      <w:r w:rsidR="000D1D63">
        <w:rPr>
          <w:sz w:val="18"/>
          <w:szCs w:val="18"/>
        </w:rPr>
        <w:t>2013.</w:t>
      </w:r>
    </w:p>
    <w:p w:rsidR="000D1D63" w:rsidRDefault="000D1D63" w:rsidP="006E1298">
      <w:pPr>
        <w:spacing w:after="0"/>
        <w:ind w:left="360" w:hanging="360"/>
        <w:jc w:val="both"/>
        <w:rPr>
          <w:sz w:val="18"/>
          <w:szCs w:val="18"/>
        </w:rPr>
      </w:pPr>
      <w:r>
        <w:rPr>
          <w:sz w:val="18"/>
          <w:szCs w:val="18"/>
        </w:rPr>
        <w:t>[2]</w:t>
      </w:r>
      <w:r>
        <w:rPr>
          <w:sz w:val="18"/>
          <w:szCs w:val="18"/>
        </w:rPr>
        <w:tab/>
        <w:t xml:space="preserve">H. Park, S. Daneshgar, Z. Griffith, M. Urteaga, B. Kim, </w:t>
      </w:r>
      <w:r w:rsidR="00E422D6">
        <w:rPr>
          <w:sz w:val="18"/>
          <w:szCs w:val="18"/>
        </w:rPr>
        <w:t xml:space="preserve">and </w:t>
      </w:r>
      <w:r>
        <w:rPr>
          <w:sz w:val="18"/>
          <w:szCs w:val="18"/>
        </w:rPr>
        <w:t>M. Rodwell</w:t>
      </w:r>
      <w:r w:rsidR="00F15329">
        <w:rPr>
          <w:sz w:val="18"/>
          <w:szCs w:val="18"/>
        </w:rPr>
        <w:t>,</w:t>
      </w:r>
      <w:r>
        <w:rPr>
          <w:sz w:val="18"/>
          <w:szCs w:val="18"/>
        </w:rPr>
        <w:t xml:space="preserve"> “Millimeter-Wave Series Power Combining Using Sub-Quarter-Wavelength Baluns,” </w:t>
      </w:r>
      <w:r>
        <w:rPr>
          <w:i/>
          <w:sz w:val="18"/>
          <w:szCs w:val="18"/>
        </w:rPr>
        <w:t xml:space="preserve">IEEE Journal of Solid-State Circuits, </w:t>
      </w:r>
      <w:r>
        <w:rPr>
          <w:sz w:val="18"/>
          <w:szCs w:val="18"/>
        </w:rPr>
        <w:t>vol. 49, no. 10, pp. 2089-2102</w:t>
      </w:r>
      <w:r w:rsidR="00B108AB">
        <w:rPr>
          <w:sz w:val="18"/>
          <w:szCs w:val="18"/>
        </w:rPr>
        <w:t>, Oct., 2014</w:t>
      </w:r>
      <w:r>
        <w:rPr>
          <w:sz w:val="18"/>
          <w:szCs w:val="18"/>
        </w:rPr>
        <w:t>.</w:t>
      </w:r>
    </w:p>
    <w:p w:rsidR="006F139D" w:rsidRPr="00AE60D1" w:rsidRDefault="00E422D6" w:rsidP="006E1298">
      <w:pPr>
        <w:spacing w:after="0"/>
        <w:ind w:left="360" w:hanging="360"/>
        <w:jc w:val="both"/>
        <w:rPr>
          <w:sz w:val="18"/>
          <w:szCs w:val="18"/>
        </w:rPr>
      </w:pPr>
      <w:r>
        <w:rPr>
          <w:sz w:val="18"/>
          <w:szCs w:val="18"/>
        </w:rPr>
        <w:t>[3]</w:t>
      </w:r>
      <w:r>
        <w:rPr>
          <w:sz w:val="18"/>
          <w:szCs w:val="18"/>
        </w:rPr>
        <w:tab/>
      </w:r>
      <w:r w:rsidR="00631F69">
        <w:rPr>
          <w:sz w:val="18"/>
          <w:szCs w:val="18"/>
        </w:rPr>
        <w:t xml:space="preserve">S. Kim, </w:t>
      </w:r>
      <w:r w:rsidR="00AE60D1">
        <w:rPr>
          <w:sz w:val="18"/>
          <w:szCs w:val="18"/>
        </w:rPr>
        <w:t xml:space="preserve">R. Maurer, M. Urteaga, M. J. W. Rodwell, “A High-Dynamic-Range W-band Frequency-Conversion IC for Microwave Dual-Conversion Receivers,” </w:t>
      </w:r>
      <w:r w:rsidR="00AE60D1">
        <w:rPr>
          <w:i/>
          <w:sz w:val="18"/>
          <w:szCs w:val="18"/>
        </w:rPr>
        <w:t xml:space="preserve">2016 IEEE </w:t>
      </w:r>
      <w:r w:rsidR="00471253">
        <w:rPr>
          <w:i/>
          <w:sz w:val="18"/>
          <w:szCs w:val="18"/>
        </w:rPr>
        <w:t>Compound</w:t>
      </w:r>
      <w:r w:rsidR="00AE60D1">
        <w:rPr>
          <w:i/>
          <w:sz w:val="18"/>
          <w:szCs w:val="18"/>
        </w:rPr>
        <w:t xml:space="preserve"> Semiconductor Integrated Circuit S</w:t>
      </w:r>
      <w:r w:rsidR="00B108AB">
        <w:rPr>
          <w:i/>
          <w:sz w:val="18"/>
          <w:szCs w:val="18"/>
        </w:rPr>
        <w:t>ymp. Dig.</w:t>
      </w:r>
      <w:r w:rsidR="00AE60D1">
        <w:rPr>
          <w:i/>
          <w:sz w:val="18"/>
          <w:szCs w:val="18"/>
        </w:rPr>
        <w:t xml:space="preserve"> (CSICS)</w:t>
      </w:r>
      <w:r w:rsidR="00AE60D1">
        <w:rPr>
          <w:sz w:val="18"/>
          <w:szCs w:val="18"/>
        </w:rPr>
        <w:t>, 2016</w:t>
      </w:r>
      <w:r w:rsidR="00B108AB">
        <w:rPr>
          <w:sz w:val="18"/>
          <w:szCs w:val="18"/>
        </w:rPr>
        <w:t>.</w:t>
      </w:r>
    </w:p>
    <w:p w:rsidR="00E422D6" w:rsidRDefault="006F139D" w:rsidP="006E1298">
      <w:pPr>
        <w:spacing w:after="0"/>
        <w:ind w:left="360" w:hanging="360"/>
        <w:jc w:val="both"/>
        <w:rPr>
          <w:sz w:val="18"/>
          <w:szCs w:val="18"/>
        </w:rPr>
      </w:pPr>
      <w:r>
        <w:rPr>
          <w:sz w:val="18"/>
          <w:szCs w:val="18"/>
        </w:rPr>
        <w:t>[4]</w:t>
      </w:r>
      <w:r>
        <w:rPr>
          <w:sz w:val="18"/>
          <w:szCs w:val="18"/>
        </w:rPr>
        <w:tab/>
      </w:r>
      <w:r w:rsidR="00E422D6">
        <w:rPr>
          <w:sz w:val="18"/>
          <w:szCs w:val="18"/>
        </w:rPr>
        <w:t xml:space="preserve">M. Urteaga, R. Pierson, P. Rowell, V. Jain, E. Lobisser, and M. J. W. Rodwell, “130nm InP DHBTs with ft &gt; 0.52 THz and fmax &gt; 1.1 THz,” in </w:t>
      </w:r>
      <w:r w:rsidR="00E422D6">
        <w:rPr>
          <w:i/>
          <w:sz w:val="18"/>
          <w:szCs w:val="18"/>
        </w:rPr>
        <w:t>69</w:t>
      </w:r>
      <w:r w:rsidR="00E422D6" w:rsidRPr="00E422D6">
        <w:rPr>
          <w:i/>
          <w:sz w:val="18"/>
          <w:szCs w:val="18"/>
          <w:vertAlign w:val="superscript"/>
        </w:rPr>
        <w:t>th</w:t>
      </w:r>
      <w:r w:rsidR="00E422D6">
        <w:rPr>
          <w:i/>
          <w:sz w:val="18"/>
          <w:szCs w:val="18"/>
        </w:rPr>
        <w:t xml:space="preserve"> Device Research Conference, </w:t>
      </w:r>
      <w:r w:rsidR="00B108AB">
        <w:rPr>
          <w:sz w:val="18"/>
          <w:szCs w:val="18"/>
        </w:rPr>
        <w:t>pp. 281-282, 2011</w:t>
      </w:r>
      <w:r w:rsidR="00E422D6">
        <w:rPr>
          <w:sz w:val="18"/>
          <w:szCs w:val="18"/>
        </w:rPr>
        <w:t>.</w:t>
      </w:r>
    </w:p>
    <w:p w:rsidR="00E422D6" w:rsidRDefault="006F139D" w:rsidP="006E1298">
      <w:pPr>
        <w:spacing w:after="0"/>
        <w:ind w:left="360" w:hanging="360"/>
        <w:jc w:val="both"/>
        <w:rPr>
          <w:sz w:val="18"/>
          <w:szCs w:val="18"/>
        </w:rPr>
      </w:pPr>
      <w:r>
        <w:rPr>
          <w:sz w:val="18"/>
          <w:szCs w:val="18"/>
        </w:rPr>
        <w:t>[5</w:t>
      </w:r>
      <w:r w:rsidR="00E422D6">
        <w:rPr>
          <w:sz w:val="18"/>
          <w:szCs w:val="18"/>
        </w:rPr>
        <w:t>]</w:t>
      </w:r>
      <w:r w:rsidR="00E422D6">
        <w:rPr>
          <w:sz w:val="18"/>
          <w:szCs w:val="18"/>
        </w:rPr>
        <w:tab/>
        <w:t>A. Margomenos, A. Kurdoghlian, M. Micovic, K. Shinohara, D. F. Brown, R. Bowen, I. Milosavljevic, R. Grabar, C. Butler, A. Schmitz, P.J. Willadsen, M. Madhav, and D. H. Chow</w:t>
      </w:r>
      <w:r w:rsidR="00F15329">
        <w:rPr>
          <w:sz w:val="18"/>
          <w:szCs w:val="18"/>
        </w:rPr>
        <w:t xml:space="preserve">, “70-105 GHz Wideband GaN Power Amplifiers,” </w:t>
      </w:r>
      <w:r w:rsidR="00F15329">
        <w:rPr>
          <w:i/>
          <w:sz w:val="18"/>
          <w:szCs w:val="18"/>
        </w:rPr>
        <w:t>7th European Microwave Integrated Circuits Conference</w:t>
      </w:r>
      <w:r w:rsidR="00B108AB">
        <w:rPr>
          <w:sz w:val="18"/>
          <w:szCs w:val="18"/>
        </w:rPr>
        <w:t>, pp. 199-202, 2012.</w:t>
      </w:r>
      <w:r w:rsidR="00F15329">
        <w:rPr>
          <w:sz w:val="18"/>
          <w:szCs w:val="18"/>
        </w:rPr>
        <w:t xml:space="preserve"> </w:t>
      </w:r>
    </w:p>
    <w:p w:rsidR="00F15329" w:rsidRDefault="006F139D" w:rsidP="006E1298">
      <w:pPr>
        <w:spacing w:after="0"/>
        <w:ind w:left="360" w:hanging="360"/>
        <w:jc w:val="both"/>
        <w:rPr>
          <w:sz w:val="18"/>
          <w:szCs w:val="18"/>
        </w:rPr>
      </w:pPr>
      <w:r>
        <w:rPr>
          <w:sz w:val="18"/>
          <w:szCs w:val="18"/>
        </w:rPr>
        <w:t>[6</w:t>
      </w:r>
      <w:r w:rsidR="00F15329">
        <w:rPr>
          <w:sz w:val="18"/>
          <w:szCs w:val="18"/>
        </w:rPr>
        <w:t>]</w:t>
      </w:r>
      <w:r w:rsidR="00F15329">
        <w:rPr>
          <w:sz w:val="18"/>
          <w:szCs w:val="18"/>
        </w:rPr>
        <w:tab/>
        <w:t xml:space="preserve">K. Wu, K. Lai, R. Hu, C. Jou, D. Niu, and Y. Shiao, “77-110 GHz 65-nm CMOS Power Amplifier Design,” </w:t>
      </w:r>
      <w:r w:rsidR="00F15329">
        <w:rPr>
          <w:i/>
          <w:sz w:val="18"/>
          <w:szCs w:val="18"/>
        </w:rPr>
        <w:t>IEEE Transactions on Terahertz Science and Technology,</w:t>
      </w:r>
      <w:r w:rsidR="00F15329">
        <w:rPr>
          <w:sz w:val="18"/>
          <w:szCs w:val="18"/>
        </w:rPr>
        <w:t xml:space="preserve"> vol. 4, no. 3,</w:t>
      </w:r>
      <w:r w:rsidR="00B108AB" w:rsidRPr="00B108AB">
        <w:rPr>
          <w:sz w:val="18"/>
          <w:szCs w:val="18"/>
        </w:rPr>
        <w:t xml:space="preserve"> </w:t>
      </w:r>
      <w:r w:rsidR="00B108AB">
        <w:rPr>
          <w:sz w:val="18"/>
          <w:szCs w:val="18"/>
        </w:rPr>
        <w:t xml:space="preserve">pp. 391-399, April, 2014. </w:t>
      </w:r>
    </w:p>
    <w:p w:rsidR="00F15329" w:rsidRPr="001A7C63" w:rsidRDefault="006F139D" w:rsidP="006E1298">
      <w:pPr>
        <w:spacing w:after="0"/>
        <w:ind w:left="360" w:hanging="360"/>
        <w:jc w:val="both"/>
        <w:rPr>
          <w:sz w:val="18"/>
          <w:szCs w:val="18"/>
        </w:rPr>
      </w:pPr>
      <w:r>
        <w:rPr>
          <w:sz w:val="18"/>
          <w:szCs w:val="18"/>
        </w:rPr>
        <w:t>[7</w:t>
      </w:r>
      <w:r w:rsidR="00F15329">
        <w:rPr>
          <w:sz w:val="18"/>
          <w:szCs w:val="18"/>
        </w:rPr>
        <w:t>]</w:t>
      </w:r>
      <w:r w:rsidR="00F15329">
        <w:rPr>
          <w:sz w:val="18"/>
          <w:szCs w:val="18"/>
        </w:rPr>
        <w:tab/>
      </w:r>
      <w:r w:rsidR="004E2951">
        <w:rPr>
          <w:sz w:val="18"/>
          <w:szCs w:val="18"/>
        </w:rPr>
        <w:t xml:space="preserve">A. Brown, K. Brown, J. Chen, K. C. Hwang, N. Kolias, R. Scott, “W-band GaN Power Amplifier MMICs,” </w:t>
      </w:r>
      <w:r w:rsidR="00B108AB">
        <w:rPr>
          <w:i/>
          <w:sz w:val="18"/>
          <w:szCs w:val="18"/>
        </w:rPr>
        <w:t>Microwave Symp. Dig.</w:t>
      </w:r>
      <w:r w:rsidR="001A7C63">
        <w:rPr>
          <w:sz w:val="18"/>
          <w:szCs w:val="18"/>
        </w:rPr>
        <w:t>, pp. 1-4</w:t>
      </w:r>
      <w:r w:rsidR="00B108AB">
        <w:rPr>
          <w:sz w:val="18"/>
          <w:szCs w:val="18"/>
        </w:rPr>
        <w:t>, 2011.</w:t>
      </w:r>
    </w:p>
    <w:sectPr w:rsidR="00F15329" w:rsidRPr="001A7C63" w:rsidSect="00C6043A">
      <w:headerReference w:type="default" r:id="rId52"/>
      <w:footerReference w:type="default" r:id="rId53"/>
      <w:endnotePr>
        <w:numFmt w:val="decimal"/>
      </w:endnotePr>
      <w:type w:val="continuous"/>
      <w:pgSz w:w="12240" w:h="15840"/>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68E" w:rsidRDefault="0046368E">
      <w:pPr>
        <w:spacing w:after="0" w:line="240" w:lineRule="auto"/>
      </w:pPr>
    </w:p>
  </w:endnote>
  <w:endnote w:type="continuationSeparator" w:id="0">
    <w:p w:rsidR="0046368E" w:rsidRDefault="004636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AB1" w:rsidRDefault="00041AB1">
    <w:pPr>
      <w:pStyle w:val="Footer"/>
    </w:pPr>
  </w:p>
  <w:p w:rsidR="00041AB1" w:rsidRDefault="00041A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68E" w:rsidRDefault="0046368E">
      <w:pPr>
        <w:spacing w:after="0" w:line="240" w:lineRule="auto"/>
      </w:pPr>
    </w:p>
  </w:footnote>
  <w:footnote w:type="continuationSeparator" w:id="0">
    <w:p w:rsidR="0046368E" w:rsidRDefault="0046368E">
      <w:pPr>
        <w:spacing w:after="0" w:line="240" w:lineRule="auto"/>
      </w:pPr>
    </w:p>
  </w:footnote>
  <w:footnote w:type="continuationNotice" w:id="1">
    <w:p w:rsidR="0046368E" w:rsidRDefault="0046368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AB1" w:rsidRDefault="00041AB1">
    <w:pPr>
      <w:pStyle w:val="Header"/>
    </w:pPr>
  </w:p>
  <w:p w:rsidR="00A17D2F" w:rsidRDefault="00A17D2F">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B"/>
    <w:lvl w:ilvl="0">
      <w:start w:val="1"/>
      <w:numFmt w:val="upperRoman"/>
      <w:pStyle w:val="Heading1"/>
      <w:lvlText w:val="%1."/>
      <w:legacy w:legacy="1" w:legacySpace="144" w:legacyIndent="144"/>
      <w:lvlJc w:val="left"/>
    </w:lvl>
    <w:lvl w:ilvl="1" w:tentative="1">
      <w:start w:val="1"/>
      <w:numFmt w:val="upperLetter"/>
      <w:pStyle w:val="Heading2"/>
      <w:lvlText w:val="%2."/>
      <w:legacy w:legacy="1" w:legacySpace="144" w:legacyIndent="144"/>
      <w:lvlJc w:val="left"/>
      <w:rPr>
        <w:b w:val="0"/>
      </w:rPr>
    </w:lvl>
    <w:lvl w:ilvl="2" w:tentative="1">
      <w:start w:val="1"/>
      <w:numFmt w:val="decimal"/>
      <w:pStyle w:val="Heading3"/>
      <w:lvlText w:val="%3)"/>
      <w:legacy w:legacy="1" w:legacySpace="144" w:legacyIndent="144"/>
      <w:lvlJc w:val="left"/>
      <w:rPr>
        <w:i/>
      </w:rPr>
    </w:lvl>
    <w:lvl w:ilvl="3" w:tentative="1">
      <w:start w:val="1"/>
      <w:numFmt w:val="lowerLetter"/>
      <w:pStyle w:val="Heading4"/>
      <w:lvlText w:val="%4)"/>
      <w:legacy w:legacy="1" w:legacySpace="0" w:legacyIndent="720"/>
      <w:lvlJc w:val="left"/>
      <w:pPr>
        <w:ind w:left="1152" w:hanging="720"/>
      </w:pPr>
    </w:lvl>
    <w:lvl w:ilvl="4" w:tentative="1">
      <w:start w:val="1"/>
      <w:numFmt w:val="decimal"/>
      <w:pStyle w:val="Heading5"/>
      <w:lvlText w:val="(%5)"/>
      <w:legacy w:legacy="1" w:legacySpace="0" w:legacyIndent="720"/>
      <w:lvlJc w:val="left"/>
      <w:pPr>
        <w:ind w:left="1872" w:hanging="720"/>
      </w:pPr>
    </w:lvl>
    <w:lvl w:ilvl="5" w:tentative="1">
      <w:start w:val="1"/>
      <w:numFmt w:val="lowerLetter"/>
      <w:pStyle w:val="Heading6"/>
      <w:lvlText w:val="(%6)"/>
      <w:legacy w:legacy="1" w:legacySpace="0" w:legacyIndent="720"/>
      <w:lvlJc w:val="left"/>
      <w:pPr>
        <w:ind w:left="2592" w:hanging="720"/>
      </w:pPr>
    </w:lvl>
    <w:lvl w:ilvl="6" w:tentative="1">
      <w:start w:val="1"/>
      <w:numFmt w:val="lowerRoman"/>
      <w:pStyle w:val="Heading7"/>
      <w:lvlText w:val="(%7)"/>
      <w:legacy w:legacy="1" w:legacySpace="0" w:legacyIndent="720"/>
      <w:lvlJc w:val="left"/>
      <w:pPr>
        <w:ind w:left="3312" w:hanging="720"/>
      </w:pPr>
    </w:lvl>
    <w:lvl w:ilvl="7" w:tentative="1">
      <w:start w:val="1"/>
      <w:numFmt w:val="lowerLetter"/>
      <w:pStyle w:val="Heading8"/>
      <w:lvlText w:val="(%8)"/>
      <w:legacy w:legacy="1" w:legacySpace="0" w:legacyIndent="720"/>
      <w:lvlJc w:val="left"/>
      <w:pPr>
        <w:ind w:left="4032" w:hanging="720"/>
      </w:pPr>
    </w:lvl>
    <w:lvl w:ilvl="8" w:tentative="1">
      <w:start w:val="1"/>
      <w:numFmt w:val="lowerRoman"/>
      <w:pStyle w:val="Heading9"/>
      <w:lvlText w:val="(%9)"/>
      <w:legacy w:legacy="1" w:legacySpace="0" w:legacyIndent="720"/>
      <w:lvlJc w:val="left"/>
      <w:pPr>
        <w:ind w:left="4752" w:hanging="720"/>
      </w:pPr>
    </w:lvl>
  </w:abstractNum>
  <w:abstractNum w:abstractNumId="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bordersDoNotSurroundHeader/>
  <w:bordersDoNotSurroundFooter/>
  <w:proofState w:spelling="clean" w:grammar="clean"/>
  <w:defaultTabStop w:val="202"/>
  <w:drawingGridHorizontalSpacing w:val="120"/>
  <w:drawingGridVerticalSpacing w:val="120"/>
  <w:displayHorizontalDrawingGridEvery w:val="0"/>
  <w:displayVerticalDrawingGridEvery w:val="3"/>
  <w:doNotUseMarginsForDrawingGridOrigin/>
  <w:drawingGridHorizontalOrigin w:val="0"/>
  <w:drawingGridVerticalOrigin w:val="0"/>
  <w:characterSpacingControl w:val="compressPunctuation"/>
  <w:hdrShapeDefaults>
    <o:shapedefaults v:ext="edit" spidmax="4097" fillcolor="#9cbee0" strokecolor="#739cc3">
      <v:fill color="#9cbee0" color2="#bbd5f0" type="gradient">
        <o:fill v:ext="view" type="gradientUnscaled"/>
      </v:fill>
      <v:stroke color="#739cc3" weight="1.25pt" miterlimit="2"/>
    </o:shapedefaults>
  </w:hdrShapeDefaults>
  <w:footnotePr>
    <w:footnote w:id="-1"/>
    <w:footnote w:id="0"/>
    <w:footnote w:id="1"/>
  </w:footnotePr>
  <w:endnotePr>
    <w:numFmt w:val="decimal"/>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87C"/>
    <w:rsid w:val="00001DD8"/>
    <w:rsid w:val="00006537"/>
    <w:rsid w:val="0001042E"/>
    <w:rsid w:val="00010B3A"/>
    <w:rsid w:val="0001110B"/>
    <w:rsid w:val="000123DD"/>
    <w:rsid w:val="0002782D"/>
    <w:rsid w:val="00033FD7"/>
    <w:rsid w:val="00034405"/>
    <w:rsid w:val="000361D7"/>
    <w:rsid w:val="00037130"/>
    <w:rsid w:val="00037DF3"/>
    <w:rsid w:val="00041AB1"/>
    <w:rsid w:val="00045C38"/>
    <w:rsid w:val="00054A46"/>
    <w:rsid w:val="000572FB"/>
    <w:rsid w:val="00057FF9"/>
    <w:rsid w:val="00061437"/>
    <w:rsid w:val="000618B1"/>
    <w:rsid w:val="00066E1E"/>
    <w:rsid w:val="00070E3F"/>
    <w:rsid w:val="00071D4D"/>
    <w:rsid w:val="00072C29"/>
    <w:rsid w:val="000902A7"/>
    <w:rsid w:val="000974DB"/>
    <w:rsid w:val="0009774B"/>
    <w:rsid w:val="000A6112"/>
    <w:rsid w:val="000A6136"/>
    <w:rsid w:val="000B3606"/>
    <w:rsid w:val="000B5468"/>
    <w:rsid w:val="000B69C3"/>
    <w:rsid w:val="000B7D83"/>
    <w:rsid w:val="000C4C3F"/>
    <w:rsid w:val="000D1D63"/>
    <w:rsid w:val="000D7ED2"/>
    <w:rsid w:val="000E087C"/>
    <w:rsid w:val="000E10D4"/>
    <w:rsid w:val="000E3730"/>
    <w:rsid w:val="000E4D19"/>
    <w:rsid w:val="000E7EF1"/>
    <w:rsid w:val="000F1B19"/>
    <w:rsid w:val="000F70B4"/>
    <w:rsid w:val="000F7D49"/>
    <w:rsid w:val="00110341"/>
    <w:rsid w:val="0011285B"/>
    <w:rsid w:val="00113D71"/>
    <w:rsid w:val="00124C7E"/>
    <w:rsid w:val="00131913"/>
    <w:rsid w:val="00133502"/>
    <w:rsid w:val="00135C55"/>
    <w:rsid w:val="00140E34"/>
    <w:rsid w:val="001454A1"/>
    <w:rsid w:val="00150566"/>
    <w:rsid w:val="0015188A"/>
    <w:rsid w:val="00170EA1"/>
    <w:rsid w:val="00175D96"/>
    <w:rsid w:val="001765C3"/>
    <w:rsid w:val="00181977"/>
    <w:rsid w:val="001945C3"/>
    <w:rsid w:val="001A7580"/>
    <w:rsid w:val="001A7BEC"/>
    <w:rsid w:val="001A7C63"/>
    <w:rsid w:val="001B08DE"/>
    <w:rsid w:val="001B0CFB"/>
    <w:rsid w:val="001B54F1"/>
    <w:rsid w:val="001C0A2C"/>
    <w:rsid w:val="001E5261"/>
    <w:rsid w:val="0020645D"/>
    <w:rsid w:val="00207310"/>
    <w:rsid w:val="00207EE2"/>
    <w:rsid w:val="002123A7"/>
    <w:rsid w:val="002332D1"/>
    <w:rsid w:val="00243A65"/>
    <w:rsid w:val="00243F7F"/>
    <w:rsid w:val="002445A8"/>
    <w:rsid w:val="002569A7"/>
    <w:rsid w:val="00261ED7"/>
    <w:rsid w:val="00263A5E"/>
    <w:rsid w:val="00272510"/>
    <w:rsid w:val="00295074"/>
    <w:rsid w:val="002B12DB"/>
    <w:rsid w:val="002B5198"/>
    <w:rsid w:val="002C1F0D"/>
    <w:rsid w:val="002C53EF"/>
    <w:rsid w:val="002D1D8B"/>
    <w:rsid w:val="002F50A7"/>
    <w:rsid w:val="00300ED8"/>
    <w:rsid w:val="003048E1"/>
    <w:rsid w:val="00313CEA"/>
    <w:rsid w:val="00316534"/>
    <w:rsid w:val="003175AF"/>
    <w:rsid w:val="00317611"/>
    <w:rsid w:val="00335FBC"/>
    <w:rsid w:val="00336FE5"/>
    <w:rsid w:val="00341353"/>
    <w:rsid w:val="00341DC9"/>
    <w:rsid w:val="00344AEE"/>
    <w:rsid w:val="003510A0"/>
    <w:rsid w:val="0035399A"/>
    <w:rsid w:val="003570DB"/>
    <w:rsid w:val="00365331"/>
    <w:rsid w:val="003751EE"/>
    <w:rsid w:val="00376190"/>
    <w:rsid w:val="00377DF8"/>
    <w:rsid w:val="00382141"/>
    <w:rsid w:val="0038468D"/>
    <w:rsid w:val="00385DB4"/>
    <w:rsid w:val="0038732C"/>
    <w:rsid w:val="00387F83"/>
    <w:rsid w:val="0039291C"/>
    <w:rsid w:val="00393804"/>
    <w:rsid w:val="003A3CD7"/>
    <w:rsid w:val="003A6F56"/>
    <w:rsid w:val="003B73EA"/>
    <w:rsid w:val="003D2039"/>
    <w:rsid w:val="003E0198"/>
    <w:rsid w:val="003E07ED"/>
    <w:rsid w:val="003F6713"/>
    <w:rsid w:val="00406E6F"/>
    <w:rsid w:val="00413D38"/>
    <w:rsid w:val="0042209C"/>
    <w:rsid w:val="00423299"/>
    <w:rsid w:val="004254E1"/>
    <w:rsid w:val="004315B2"/>
    <w:rsid w:val="00434212"/>
    <w:rsid w:val="00437E18"/>
    <w:rsid w:val="00441D97"/>
    <w:rsid w:val="00441E48"/>
    <w:rsid w:val="00441FE0"/>
    <w:rsid w:val="00443008"/>
    <w:rsid w:val="004469CC"/>
    <w:rsid w:val="00456058"/>
    <w:rsid w:val="004571B4"/>
    <w:rsid w:val="0046368E"/>
    <w:rsid w:val="00463A20"/>
    <w:rsid w:val="00471253"/>
    <w:rsid w:val="00471ECB"/>
    <w:rsid w:val="00473B35"/>
    <w:rsid w:val="004758FC"/>
    <w:rsid w:val="0048430C"/>
    <w:rsid w:val="00485F2E"/>
    <w:rsid w:val="00486A58"/>
    <w:rsid w:val="00487300"/>
    <w:rsid w:val="0049321D"/>
    <w:rsid w:val="004A4700"/>
    <w:rsid w:val="004A7B56"/>
    <w:rsid w:val="004B230B"/>
    <w:rsid w:val="004B37C8"/>
    <w:rsid w:val="004B700C"/>
    <w:rsid w:val="004C735E"/>
    <w:rsid w:val="004E0D12"/>
    <w:rsid w:val="004E2951"/>
    <w:rsid w:val="004E541A"/>
    <w:rsid w:val="004E6D3C"/>
    <w:rsid w:val="004E7197"/>
    <w:rsid w:val="004F31B9"/>
    <w:rsid w:val="004F5944"/>
    <w:rsid w:val="004F5C85"/>
    <w:rsid w:val="00500335"/>
    <w:rsid w:val="00503C05"/>
    <w:rsid w:val="005044A3"/>
    <w:rsid w:val="00516187"/>
    <w:rsid w:val="00517E4D"/>
    <w:rsid w:val="00526169"/>
    <w:rsid w:val="00526570"/>
    <w:rsid w:val="00532EBB"/>
    <w:rsid w:val="005340C9"/>
    <w:rsid w:val="00534803"/>
    <w:rsid w:val="0053574A"/>
    <w:rsid w:val="00561B78"/>
    <w:rsid w:val="00574316"/>
    <w:rsid w:val="005758CB"/>
    <w:rsid w:val="0058170A"/>
    <w:rsid w:val="00590C90"/>
    <w:rsid w:val="00596803"/>
    <w:rsid w:val="005A3636"/>
    <w:rsid w:val="005C719A"/>
    <w:rsid w:val="005D4F5F"/>
    <w:rsid w:val="005D68B8"/>
    <w:rsid w:val="005E4666"/>
    <w:rsid w:val="005F518C"/>
    <w:rsid w:val="0060097E"/>
    <w:rsid w:val="00614D8D"/>
    <w:rsid w:val="0062248E"/>
    <w:rsid w:val="0062457F"/>
    <w:rsid w:val="00626929"/>
    <w:rsid w:val="00626D46"/>
    <w:rsid w:val="00627647"/>
    <w:rsid w:val="00631F69"/>
    <w:rsid w:val="00633F26"/>
    <w:rsid w:val="00635195"/>
    <w:rsid w:val="00643EC1"/>
    <w:rsid w:val="0064514E"/>
    <w:rsid w:val="00645A69"/>
    <w:rsid w:val="00650BE1"/>
    <w:rsid w:val="00652BD2"/>
    <w:rsid w:val="00655461"/>
    <w:rsid w:val="0066395D"/>
    <w:rsid w:val="00665F9C"/>
    <w:rsid w:val="00672306"/>
    <w:rsid w:val="00692000"/>
    <w:rsid w:val="0069348B"/>
    <w:rsid w:val="006973CD"/>
    <w:rsid w:val="006A4984"/>
    <w:rsid w:val="006A7861"/>
    <w:rsid w:val="006A7AF5"/>
    <w:rsid w:val="006B16A9"/>
    <w:rsid w:val="006B1895"/>
    <w:rsid w:val="006B44D2"/>
    <w:rsid w:val="006C1A9A"/>
    <w:rsid w:val="006C3130"/>
    <w:rsid w:val="006C5987"/>
    <w:rsid w:val="006E1298"/>
    <w:rsid w:val="006E5B58"/>
    <w:rsid w:val="006F139D"/>
    <w:rsid w:val="006F315A"/>
    <w:rsid w:val="006F3DBB"/>
    <w:rsid w:val="00700C95"/>
    <w:rsid w:val="00715EAB"/>
    <w:rsid w:val="00715F3D"/>
    <w:rsid w:val="00720369"/>
    <w:rsid w:val="00721447"/>
    <w:rsid w:val="00731C57"/>
    <w:rsid w:val="00735CF8"/>
    <w:rsid w:val="007615C8"/>
    <w:rsid w:val="007716A7"/>
    <w:rsid w:val="00772F95"/>
    <w:rsid w:val="007766F7"/>
    <w:rsid w:val="00785C05"/>
    <w:rsid w:val="007A03BD"/>
    <w:rsid w:val="007A3025"/>
    <w:rsid w:val="007A7FCB"/>
    <w:rsid w:val="007C283C"/>
    <w:rsid w:val="007C40F6"/>
    <w:rsid w:val="007C5497"/>
    <w:rsid w:val="007E1C54"/>
    <w:rsid w:val="007E4E1F"/>
    <w:rsid w:val="007E5A04"/>
    <w:rsid w:val="007F2897"/>
    <w:rsid w:val="007F77F3"/>
    <w:rsid w:val="008155EE"/>
    <w:rsid w:val="00822BC9"/>
    <w:rsid w:val="008236AE"/>
    <w:rsid w:val="008314B4"/>
    <w:rsid w:val="00831F54"/>
    <w:rsid w:val="00837AC9"/>
    <w:rsid w:val="00845C66"/>
    <w:rsid w:val="00894D09"/>
    <w:rsid w:val="008968F7"/>
    <w:rsid w:val="008A7083"/>
    <w:rsid w:val="008B2F25"/>
    <w:rsid w:val="008B74F2"/>
    <w:rsid w:val="008D1ECA"/>
    <w:rsid w:val="008F058A"/>
    <w:rsid w:val="008F19A2"/>
    <w:rsid w:val="008F1B91"/>
    <w:rsid w:val="008F5A3F"/>
    <w:rsid w:val="008F7F42"/>
    <w:rsid w:val="009038E9"/>
    <w:rsid w:val="00904526"/>
    <w:rsid w:val="009079DD"/>
    <w:rsid w:val="00912312"/>
    <w:rsid w:val="00925025"/>
    <w:rsid w:val="0093067B"/>
    <w:rsid w:val="0094555B"/>
    <w:rsid w:val="00951926"/>
    <w:rsid w:val="00954B0B"/>
    <w:rsid w:val="00975912"/>
    <w:rsid w:val="00983F6C"/>
    <w:rsid w:val="00986C39"/>
    <w:rsid w:val="00994186"/>
    <w:rsid w:val="009956DC"/>
    <w:rsid w:val="00996C28"/>
    <w:rsid w:val="009A3EF9"/>
    <w:rsid w:val="009B0032"/>
    <w:rsid w:val="009B2567"/>
    <w:rsid w:val="009B42B8"/>
    <w:rsid w:val="009D0F00"/>
    <w:rsid w:val="009D17C2"/>
    <w:rsid w:val="009D7D40"/>
    <w:rsid w:val="00A17D2F"/>
    <w:rsid w:val="00A21E74"/>
    <w:rsid w:val="00A22546"/>
    <w:rsid w:val="00A2352B"/>
    <w:rsid w:val="00A34D7F"/>
    <w:rsid w:val="00A37F30"/>
    <w:rsid w:val="00A42452"/>
    <w:rsid w:val="00A57B7E"/>
    <w:rsid w:val="00A6681C"/>
    <w:rsid w:val="00A710FF"/>
    <w:rsid w:val="00A77212"/>
    <w:rsid w:val="00A833C8"/>
    <w:rsid w:val="00A8699E"/>
    <w:rsid w:val="00A9430E"/>
    <w:rsid w:val="00A96288"/>
    <w:rsid w:val="00AA2E2F"/>
    <w:rsid w:val="00AA392E"/>
    <w:rsid w:val="00AA3E78"/>
    <w:rsid w:val="00AB077E"/>
    <w:rsid w:val="00AC526D"/>
    <w:rsid w:val="00AC5460"/>
    <w:rsid w:val="00AD00D6"/>
    <w:rsid w:val="00AD4ADD"/>
    <w:rsid w:val="00AD60B1"/>
    <w:rsid w:val="00AD6633"/>
    <w:rsid w:val="00AD6FBE"/>
    <w:rsid w:val="00AD7303"/>
    <w:rsid w:val="00AE60D1"/>
    <w:rsid w:val="00AF0661"/>
    <w:rsid w:val="00B053B8"/>
    <w:rsid w:val="00B108AB"/>
    <w:rsid w:val="00B21305"/>
    <w:rsid w:val="00B44F2B"/>
    <w:rsid w:val="00B50269"/>
    <w:rsid w:val="00B53BD9"/>
    <w:rsid w:val="00B57B8C"/>
    <w:rsid w:val="00B65F92"/>
    <w:rsid w:val="00B660C7"/>
    <w:rsid w:val="00B80BC2"/>
    <w:rsid w:val="00B80C18"/>
    <w:rsid w:val="00B85758"/>
    <w:rsid w:val="00B86970"/>
    <w:rsid w:val="00B94ACE"/>
    <w:rsid w:val="00B94DEC"/>
    <w:rsid w:val="00BA4CA9"/>
    <w:rsid w:val="00BA5445"/>
    <w:rsid w:val="00BB3D88"/>
    <w:rsid w:val="00BB56D9"/>
    <w:rsid w:val="00BB5926"/>
    <w:rsid w:val="00BB5AD2"/>
    <w:rsid w:val="00BB73DE"/>
    <w:rsid w:val="00BB7A2A"/>
    <w:rsid w:val="00BC1A17"/>
    <w:rsid w:val="00BC433A"/>
    <w:rsid w:val="00BC4D41"/>
    <w:rsid w:val="00BC4FFF"/>
    <w:rsid w:val="00BF0982"/>
    <w:rsid w:val="00BF5FDE"/>
    <w:rsid w:val="00C01B77"/>
    <w:rsid w:val="00C075C1"/>
    <w:rsid w:val="00C1109C"/>
    <w:rsid w:val="00C22DE5"/>
    <w:rsid w:val="00C30A50"/>
    <w:rsid w:val="00C3140A"/>
    <w:rsid w:val="00C34DBC"/>
    <w:rsid w:val="00C41026"/>
    <w:rsid w:val="00C41FC6"/>
    <w:rsid w:val="00C460AE"/>
    <w:rsid w:val="00C51C06"/>
    <w:rsid w:val="00C6043A"/>
    <w:rsid w:val="00C6294B"/>
    <w:rsid w:val="00C67AF4"/>
    <w:rsid w:val="00C74AEE"/>
    <w:rsid w:val="00C7627A"/>
    <w:rsid w:val="00C83269"/>
    <w:rsid w:val="00C871C3"/>
    <w:rsid w:val="00C94DFC"/>
    <w:rsid w:val="00C95795"/>
    <w:rsid w:val="00C973DD"/>
    <w:rsid w:val="00CA67CD"/>
    <w:rsid w:val="00CB4CE5"/>
    <w:rsid w:val="00CB63A8"/>
    <w:rsid w:val="00CC47DF"/>
    <w:rsid w:val="00CC7BE1"/>
    <w:rsid w:val="00CE2D6C"/>
    <w:rsid w:val="00CE35F5"/>
    <w:rsid w:val="00CE71B9"/>
    <w:rsid w:val="00CF06CE"/>
    <w:rsid w:val="00CF499B"/>
    <w:rsid w:val="00CF5640"/>
    <w:rsid w:val="00D12B59"/>
    <w:rsid w:val="00D21D2C"/>
    <w:rsid w:val="00D2451F"/>
    <w:rsid w:val="00D27C05"/>
    <w:rsid w:val="00D36044"/>
    <w:rsid w:val="00D36EC5"/>
    <w:rsid w:val="00D441F2"/>
    <w:rsid w:val="00D53C1B"/>
    <w:rsid w:val="00D55904"/>
    <w:rsid w:val="00D5608C"/>
    <w:rsid w:val="00D70B02"/>
    <w:rsid w:val="00DA4705"/>
    <w:rsid w:val="00DA7B38"/>
    <w:rsid w:val="00DB180F"/>
    <w:rsid w:val="00DB6BF4"/>
    <w:rsid w:val="00DC1103"/>
    <w:rsid w:val="00DD5C90"/>
    <w:rsid w:val="00DD5F7B"/>
    <w:rsid w:val="00DF4F0D"/>
    <w:rsid w:val="00DF57C0"/>
    <w:rsid w:val="00E00EC8"/>
    <w:rsid w:val="00E11437"/>
    <w:rsid w:val="00E11F29"/>
    <w:rsid w:val="00E1597B"/>
    <w:rsid w:val="00E161F0"/>
    <w:rsid w:val="00E1679F"/>
    <w:rsid w:val="00E24DDD"/>
    <w:rsid w:val="00E33127"/>
    <w:rsid w:val="00E4017E"/>
    <w:rsid w:val="00E422D6"/>
    <w:rsid w:val="00E43665"/>
    <w:rsid w:val="00E54A24"/>
    <w:rsid w:val="00E55AF4"/>
    <w:rsid w:val="00E61508"/>
    <w:rsid w:val="00E62130"/>
    <w:rsid w:val="00E6388C"/>
    <w:rsid w:val="00E6487C"/>
    <w:rsid w:val="00E75186"/>
    <w:rsid w:val="00E7563D"/>
    <w:rsid w:val="00E77743"/>
    <w:rsid w:val="00E80DEA"/>
    <w:rsid w:val="00E81D58"/>
    <w:rsid w:val="00E83C1F"/>
    <w:rsid w:val="00E85F6D"/>
    <w:rsid w:val="00E86F4F"/>
    <w:rsid w:val="00E95A49"/>
    <w:rsid w:val="00E97444"/>
    <w:rsid w:val="00EA2C17"/>
    <w:rsid w:val="00EA6475"/>
    <w:rsid w:val="00EB3529"/>
    <w:rsid w:val="00EB4537"/>
    <w:rsid w:val="00EC0699"/>
    <w:rsid w:val="00EC3935"/>
    <w:rsid w:val="00EC47A6"/>
    <w:rsid w:val="00EC777B"/>
    <w:rsid w:val="00ED0FEC"/>
    <w:rsid w:val="00ED3E80"/>
    <w:rsid w:val="00ED7EC1"/>
    <w:rsid w:val="00EF3C7C"/>
    <w:rsid w:val="00F057C3"/>
    <w:rsid w:val="00F1102D"/>
    <w:rsid w:val="00F15329"/>
    <w:rsid w:val="00F154D5"/>
    <w:rsid w:val="00F1640D"/>
    <w:rsid w:val="00F20AAD"/>
    <w:rsid w:val="00F416BC"/>
    <w:rsid w:val="00F74613"/>
    <w:rsid w:val="00F77507"/>
    <w:rsid w:val="00F80E04"/>
    <w:rsid w:val="00F91F93"/>
    <w:rsid w:val="00F948FD"/>
    <w:rsid w:val="00F96F8E"/>
    <w:rsid w:val="00FA2663"/>
    <w:rsid w:val="00FA68F8"/>
    <w:rsid w:val="00FB05FA"/>
    <w:rsid w:val="00FB4725"/>
    <w:rsid w:val="00FB5843"/>
    <w:rsid w:val="00FC35C8"/>
    <w:rsid w:val="00FC5336"/>
    <w:rsid w:val="00FC7206"/>
    <w:rsid w:val="00FD190D"/>
    <w:rsid w:val="00FD5D98"/>
    <w:rsid w:val="00FE59B5"/>
    <w:rsid w:val="00FF2FE9"/>
    <w:rsid w:val="00FF43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23A7BEA2-E504-44B9-BEF2-FE401638C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F8E"/>
    <w:pPr>
      <w:spacing w:after="160" w:line="259" w:lineRule="auto"/>
    </w:pPr>
    <w:rPr>
      <w:lang w:eastAsia="en-US"/>
    </w:rPr>
  </w:style>
  <w:style w:type="paragraph" w:styleId="Heading1">
    <w:name w:val="heading 1"/>
    <w:basedOn w:val="Normal"/>
    <w:next w:val="Normal"/>
    <w:link w:val="Heading1Char"/>
    <w:uiPriority w:val="9"/>
    <w:qFormat/>
    <w:rsid w:val="00F96F8E"/>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F96F8E"/>
    <w:pPr>
      <w:keepNext/>
      <w:numPr>
        <w:ilvl w:val="1"/>
        <w:numId w:val="1"/>
      </w:numPr>
      <w:spacing w:before="120" w:after="60"/>
      <w:outlineLvl w:val="1"/>
    </w:pPr>
    <w:rPr>
      <w:i/>
      <w:iCs/>
    </w:rPr>
  </w:style>
  <w:style w:type="paragraph" w:styleId="Heading3">
    <w:name w:val="heading 3"/>
    <w:basedOn w:val="Normal"/>
    <w:next w:val="Normal"/>
    <w:uiPriority w:val="9"/>
    <w:qFormat/>
    <w:rsid w:val="00F96F8E"/>
    <w:pPr>
      <w:keepNext/>
      <w:numPr>
        <w:ilvl w:val="2"/>
        <w:numId w:val="1"/>
      </w:numPr>
      <w:outlineLvl w:val="2"/>
    </w:pPr>
    <w:rPr>
      <w:i/>
      <w:iCs/>
    </w:rPr>
  </w:style>
  <w:style w:type="paragraph" w:styleId="Heading4">
    <w:name w:val="heading 4"/>
    <w:basedOn w:val="Normal"/>
    <w:next w:val="Normal"/>
    <w:uiPriority w:val="9"/>
    <w:qFormat/>
    <w:rsid w:val="00F96F8E"/>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F96F8E"/>
    <w:pPr>
      <w:numPr>
        <w:ilvl w:val="4"/>
        <w:numId w:val="1"/>
      </w:numPr>
      <w:spacing w:before="240" w:after="60"/>
      <w:outlineLvl w:val="4"/>
    </w:pPr>
    <w:rPr>
      <w:sz w:val="18"/>
      <w:szCs w:val="18"/>
    </w:rPr>
  </w:style>
  <w:style w:type="paragraph" w:styleId="Heading6">
    <w:name w:val="heading 6"/>
    <w:basedOn w:val="Normal"/>
    <w:next w:val="Normal"/>
    <w:uiPriority w:val="9"/>
    <w:qFormat/>
    <w:rsid w:val="00F96F8E"/>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F96F8E"/>
    <w:pPr>
      <w:numPr>
        <w:ilvl w:val="6"/>
        <w:numId w:val="1"/>
      </w:numPr>
      <w:spacing w:before="240" w:after="60"/>
      <w:outlineLvl w:val="6"/>
    </w:pPr>
    <w:rPr>
      <w:sz w:val="16"/>
      <w:szCs w:val="16"/>
    </w:rPr>
  </w:style>
  <w:style w:type="paragraph" w:styleId="Heading8">
    <w:name w:val="heading 8"/>
    <w:basedOn w:val="Normal"/>
    <w:next w:val="Normal"/>
    <w:uiPriority w:val="9"/>
    <w:qFormat/>
    <w:rsid w:val="00F96F8E"/>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F96F8E"/>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96F8E"/>
    <w:rPr>
      <w:rFonts w:ascii="Tahoma" w:hAnsi="Tahoma" w:cs="Tahoma"/>
      <w:sz w:val="16"/>
      <w:szCs w:val="16"/>
    </w:rPr>
  </w:style>
  <w:style w:type="paragraph" w:styleId="BodyText">
    <w:name w:val="Body Text"/>
    <w:basedOn w:val="Normal"/>
    <w:link w:val="BodyTextChar"/>
    <w:unhideWhenUsed/>
    <w:rsid w:val="00F96F8E"/>
    <w:pPr>
      <w:spacing w:after="120"/>
    </w:pPr>
  </w:style>
  <w:style w:type="paragraph" w:styleId="BodyTextFirstIndent">
    <w:name w:val="Body Text First Indent"/>
    <w:basedOn w:val="BodyText"/>
    <w:link w:val="BodyTextFirstIndentChar"/>
    <w:rsid w:val="00F96F8E"/>
    <w:pPr>
      <w:spacing w:after="0"/>
      <w:ind w:firstLine="144"/>
    </w:pPr>
  </w:style>
  <w:style w:type="paragraph" w:styleId="BodyTextIndent">
    <w:name w:val="Body Text Indent"/>
    <w:basedOn w:val="Normal"/>
    <w:link w:val="BodyTextIndentChar"/>
    <w:rsid w:val="00F96F8E"/>
    <w:pPr>
      <w:ind w:left="630" w:hanging="630"/>
    </w:pPr>
    <w:rPr>
      <w:szCs w:val="24"/>
    </w:rPr>
  </w:style>
  <w:style w:type="paragraph" w:styleId="Caption">
    <w:name w:val="caption"/>
    <w:basedOn w:val="Normal"/>
    <w:next w:val="Normal"/>
    <w:uiPriority w:val="35"/>
    <w:unhideWhenUsed/>
    <w:qFormat/>
    <w:rsid w:val="00F96F8E"/>
    <w:pPr>
      <w:widowControl w:val="0"/>
      <w:spacing w:after="120"/>
      <w:jc w:val="both"/>
    </w:pPr>
    <w:rPr>
      <w:rFonts w:eastAsia="SimHei"/>
      <w:kern w:val="2"/>
      <w:sz w:val="16"/>
      <w:lang w:eastAsia="zh-CN"/>
    </w:rPr>
  </w:style>
  <w:style w:type="paragraph" w:styleId="CommentText">
    <w:name w:val="annotation text"/>
    <w:basedOn w:val="Normal"/>
    <w:link w:val="CommentTextChar"/>
    <w:uiPriority w:val="99"/>
    <w:unhideWhenUsed/>
    <w:rsid w:val="00F96F8E"/>
    <w:pPr>
      <w:widowControl w:val="0"/>
      <w:jc w:val="both"/>
    </w:pPr>
    <w:rPr>
      <w:rFonts w:ascii="Calibri" w:hAnsi="Calibri"/>
      <w:kern w:val="2"/>
      <w:lang w:eastAsia="zh-CN"/>
    </w:rPr>
  </w:style>
  <w:style w:type="paragraph" w:styleId="CommentSubject">
    <w:name w:val="annotation subject"/>
    <w:basedOn w:val="CommentText"/>
    <w:next w:val="CommentText"/>
    <w:link w:val="CommentSubjectChar"/>
    <w:rsid w:val="00F96F8E"/>
    <w:pPr>
      <w:widowControl/>
      <w:jc w:val="left"/>
    </w:pPr>
    <w:rPr>
      <w:rFonts w:ascii="Times New Roman" w:hAnsi="Times New Roman"/>
      <w:b/>
      <w:bCs/>
      <w:kern w:val="0"/>
      <w:lang w:eastAsia="en-US"/>
    </w:rPr>
  </w:style>
  <w:style w:type="paragraph" w:styleId="DocumentMap">
    <w:name w:val="Document Map"/>
    <w:basedOn w:val="Normal"/>
    <w:semiHidden/>
    <w:rsid w:val="00F96F8E"/>
    <w:pPr>
      <w:shd w:val="clear" w:color="auto" w:fill="000080"/>
    </w:pPr>
    <w:rPr>
      <w:rFonts w:ascii="Tahoma" w:hAnsi="Tahoma" w:cs="Tahoma"/>
    </w:rPr>
  </w:style>
  <w:style w:type="paragraph" w:styleId="EndnoteText">
    <w:name w:val="endnote text"/>
    <w:basedOn w:val="Normal"/>
    <w:link w:val="EndnoteTextChar"/>
    <w:uiPriority w:val="99"/>
    <w:unhideWhenUsed/>
    <w:rsid w:val="0042209C"/>
    <w:pPr>
      <w:widowControl w:val="0"/>
      <w:snapToGrid w:val="0"/>
      <w:spacing w:after="40"/>
      <w:ind w:left="360" w:hanging="360"/>
      <w:jc w:val="both"/>
    </w:pPr>
    <w:rPr>
      <w:kern w:val="2"/>
      <w:sz w:val="16"/>
      <w:szCs w:val="22"/>
      <w:lang w:eastAsia="zh-CN"/>
    </w:rPr>
  </w:style>
  <w:style w:type="paragraph" w:styleId="Footer">
    <w:name w:val="footer"/>
    <w:basedOn w:val="Normal"/>
    <w:link w:val="FooterChar"/>
    <w:uiPriority w:val="99"/>
    <w:rsid w:val="00F96F8E"/>
    <w:pPr>
      <w:tabs>
        <w:tab w:val="center" w:pos="4320"/>
        <w:tab w:val="right" w:pos="8640"/>
      </w:tabs>
    </w:pPr>
  </w:style>
  <w:style w:type="paragraph" w:styleId="FootnoteText">
    <w:name w:val="footnote text"/>
    <w:basedOn w:val="Normal"/>
    <w:link w:val="FootnoteTextChar"/>
    <w:semiHidden/>
    <w:rsid w:val="00F96F8E"/>
    <w:pPr>
      <w:ind w:firstLine="202"/>
      <w:jc w:val="both"/>
    </w:pPr>
    <w:rPr>
      <w:sz w:val="16"/>
      <w:szCs w:val="16"/>
    </w:rPr>
  </w:style>
  <w:style w:type="paragraph" w:styleId="Header">
    <w:name w:val="header"/>
    <w:basedOn w:val="Normal"/>
    <w:link w:val="HeaderChar"/>
    <w:uiPriority w:val="99"/>
    <w:rsid w:val="00F96F8E"/>
    <w:pPr>
      <w:tabs>
        <w:tab w:val="center" w:pos="4320"/>
        <w:tab w:val="right" w:pos="8640"/>
      </w:tabs>
    </w:pPr>
  </w:style>
  <w:style w:type="paragraph" w:styleId="Title">
    <w:name w:val="Title"/>
    <w:basedOn w:val="Normal"/>
    <w:next w:val="Normal"/>
    <w:qFormat/>
    <w:rsid w:val="00F96F8E"/>
    <w:pPr>
      <w:jc w:val="center"/>
    </w:pPr>
    <w:rPr>
      <w:kern w:val="28"/>
      <w:sz w:val="48"/>
      <w:szCs w:val="48"/>
    </w:rPr>
  </w:style>
  <w:style w:type="character" w:styleId="CommentReference">
    <w:name w:val="annotation reference"/>
    <w:uiPriority w:val="99"/>
    <w:unhideWhenUsed/>
    <w:rsid w:val="00F96F8E"/>
    <w:rPr>
      <w:sz w:val="16"/>
      <w:szCs w:val="16"/>
    </w:rPr>
  </w:style>
  <w:style w:type="character" w:styleId="EndnoteReference">
    <w:name w:val="endnote reference"/>
    <w:basedOn w:val="DefaultParagraphFont"/>
    <w:uiPriority w:val="99"/>
    <w:unhideWhenUsed/>
    <w:rsid w:val="00F96F8E"/>
  </w:style>
  <w:style w:type="character" w:styleId="FollowedHyperlink">
    <w:name w:val="FollowedHyperlink"/>
    <w:rsid w:val="00F96F8E"/>
    <w:rPr>
      <w:color w:val="800080"/>
      <w:u w:val="single"/>
    </w:rPr>
  </w:style>
  <w:style w:type="character" w:styleId="FootnoteReference">
    <w:name w:val="footnote reference"/>
    <w:semiHidden/>
    <w:rsid w:val="00F96F8E"/>
    <w:rPr>
      <w:vertAlign w:val="superscript"/>
    </w:rPr>
  </w:style>
  <w:style w:type="character" w:styleId="Hyperlink">
    <w:name w:val="Hyperlink"/>
    <w:rsid w:val="00F96F8E"/>
    <w:rPr>
      <w:color w:val="0000FF"/>
      <w:u w:val="single"/>
    </w:rPr>
  </w:style>
  <w:style w:type="paragraph" w:customStyle="1" w:styleId="Abstract">
    <w:name w:val="Abstract"/>
    <w:basedOn w:val="Normal"/>
    <w:next w:val="Normal"/>
    <w:rsid w:val="00F96F8E"/>
    <w:pPr>
      <w:spacing w:before="20"/>
      <w:ind w:firstLine="202"/>
      <w:jc w:val="both"/>
    </w:pPr>
    <w:rPr>
      <w:b/>
      <w:bCs/>
      <w:sz w:val="18"/>
      <w:szCs w:val="18"/>
    </w:rPr>
  </w:style>
  <w:style w:type="paragraph" w:customStyle="1" w:styleId="Authors">
    <w:name w:val="Authors"/>
    <w:basedOn w:val="Normal"/>
    <w:next w:val="Normal"/>
    <w:rsid w:val="00F96F8E"/>
    <w:pPr>
      <w:spacing w:after="320"/>
      <w:jc w:val="center"/>
    </w:pPr>
    <w:rPr>
      <w:sz w:val="22"/>
      <w:szCs w:val="22"/>
    </w:rPr>
  </w:style>
  <w:style w:type="paragraph" w:customStyle="1" w:styleId="References">
    <w:name w:val="References"/>
    <w:basedOn w:val="Normal"/>
    <w:rsid w:val="00E43665"/>
    <w:pPr>
      <w:numPr>
        <w:numId w:val="2"/>
      </w:numPr>
      <w:jc w:val="both"/>
    </w:pPr>
    <w:rPr>
      <w:sz w:val="16"/>
      <w:szCs w:val="16"/>
    </w:rPr>
  </w:style>
  <w:style w:type="paragraph" w:customStyle="1" w:styleId="IndexTerms">
    <w:name w:val="IndexTerms"/>
    <w:basedOn w:val="Normal"/>
    <w:next w:val="Normal"/>
    <w:rsid w:val="00F96F8E"/>
    <w:pPr>
      <w:ind w:firstLine="202"/>
      <w:jc w:val="both"/>
    </w:pPr>
    <w:rPr>
      <w:b/>
      <w:bCs/>
      <w:sz w:val="18"/>
      <w:szCs w:val="18"/>
    </w:rPr>
  </w:style>
  <w:style w:type="paragraph" w:customStyle="1" w:styleId="Text">
    <w:name w:val="Text"/>
    <w:basedOn w:val="Normal"/>
    <w:rsid w:val="004469CC"/>
    <w:pPr>
      <w:widowControl w:val="0"/>
      <w:spacing w:after="0"/>
      <w:jc w:val="both"/>
    </w:pPr>
  </w:style>
  <w:style w:type="paragraph" w:customStyle="1" w:styleId="FigureCaption">
    <w:name w:val="Figure Caption"/>
    <w:basedOn w:val="Normal"/>
    <w:rsid w:val="00F96F8E"/>
    <w:pPr>
      <w:jc w:val="both"/>
    </w:pPr>
    <w:rPr>
      <w:sz w:val="16"/>
      <w:szCs w:val="16"/>
    </w:rPr>
  </w:style>
  <w:style w:type="paragraph" w:customStyle="1" w:styleId="TableTitle">
    <w:name w:val="Table Title"/>
    <w:basedOn w:val="Normal"/>
    <w:rsid w:val="00F96F8E"/>
    <w:pPr>
      <w:jc w:val="center"/>
    </w:pPr>
    <w:rPr>
      <w:smallCaps/>
      <w:sz w:val="16"/>
      <w:szCs w:val="16"/>
    </w:rPr>
  </w:style>
  <w:style w:type="paragraph" w:customStyle="1" w:styleId="ReferenceHead">
    <w:name w:val="Reference Head"/>
    <w:basedOn w:val="Heading1"/>
    <w:link w:val="ReferenceHeadChar"/>
    <w:rsid w:val="00F96F8E"/>
    <w:pPr>
      <w:numPr>
        <w:numId w:val="0"/>
      </w:numPr>
    </w:pPr>
  </w:style>
  <w:style w:type="paragraph" w:customStyle="1" w:styleId="Equation">
    <w:name w:val="Equation"/>
    <w:basedOn w:val="Normal"/>
    <w:next w:val="Normal"/>
    <w:rsid w:val="00F96F8E"/>
    <w:pPr>
      <w:widowControl w:val="0"/>
      <w:tabs>
        <w:tab w:val="right" w:pos="5040"/>
      </w:tabs>
      <w:spacing w:line="252" w:lineRule="auto"/>
      <w:jc w:val="both"/>
    </w:pPr>
  </w:style>
  <w:style w:type="paragraph" w:customStyle="1" w:styleId="Pa0">
    <w:name w:val="Pa0"/>
    <w:basedOn w:val="Normal"/>
    <w:next w:val="Normal"/>
    <w:rsid w:val="00F96F8E"/>
    <w:pPr>
      <w:widowControl w:val="0"/>
      <w:adjustRightInd w:val="0"/>
      <w:spacing w:line="241" w:lineRule="atLeast"/>
    </w:pPr>
    <w:rPr>
      <w:rFonts w:ascii="Baskerville" w:hAnsi="Baskerville"/>
      <w:sz w:val="24"/>
      <w:szCs w:val="24"/>
    </w:rPr>
  </w:style>
  <w:style w:type="paragraph" w:customStyle="1" w:styleId="ParagraphStyle1">
    <w:name w:val="Paragraph Style 1"/>
    <w:basedOn w:val="Normal"/>
    <w:uiPriority w:val="99"/>
    <w:rsid w:val="00F96F8E"/>
    <w:pPr>
      <w:widowControl w:val="0"/>
      <w:tabs>
        <w:tab w:val="left" w:pos="480"/>
      </w:tabs>
      <w:adjustRightInd w:val="0"/>
      <w:spacing w:before="100" w:line="280" w:lineRule="atLeast"/>
      <w:textAlignment w:val="center"/>
    </w:pPr>
    <w:rPr>
      <w:rFonts w:ascii="Formata-Regular" w:hAnsi="Formata-Regular" w:cs="Formata-Regular"/>
      <w:color w:val="000000"/>
      <w:sz w:val="22"/>
      <w:szCs w:val="22"/>
      <w:lang w:eastAsia="ja-JP"/>
    </w:rPr>
  </w:style>
  <w:style w:type="paragraph" w:customStyle="1" w:styleId="Style1">
    <w:name w:val="Style1"/>
    <w:basedOn w:val="ReferenceHead"/>
    <w:link w:val="Style1Char"/>
    <w:qFormat/>
    <w:rsid w:val="00F96F8E"/>
  </w:style>
  <w:style w:type="paragraph" w:customStyle="1" w:styleId="Revision1">
    <w:name w:val="Revision1"/>
    <w:hidden/>
    <w:uiPriority w:val="99"/>
    <w:semiHidden/>
    <w:rsid w:val="00F96F8E"/>
    <w:pPr>
      <w:spacing w:after="160" w:line="259" w:lineRule="auto"/>
    </w:pPr>
    <w:rPr>
      <w:lang w:eastAsia="en-US"/>
    </w:rPr>
  </w:style>
  <w:style w:type="paragraph" w:customStyle="1" w:styleId="TextL-MAG">
    <w:name w:val="Text L-MAG"/>
    <w:basedOn w:val="Normal"/>
    <w:link w:val="TextL-MAGChar"/>
    <w:qFormat/>
    <w:rsid w:val="00F96F8E"/>
    <w:pPr>
      <w:widowControl w:val="0"/>
      <w:tabs>
        <w:tab w:val="left" w:pos="360"/>
      </w:tabs>
      <w:spacing w:line="276" w:lineRule="auto"/>
      <w:ind w:firstLine="360"/>
      <w:jc w:val="both"/>
    </w:pPr>
    <w:rPr>
      <w:rFonts w:ascii="Arial" w:eastAsia="MS Mincho" w:hAnsi="Arial"/>
      <w:sz w:val="18"/>
      <w:szCs w:val="22"/>
      <w:lang w:eastAsia="ja-JP"/>
    </w:rPr>
  </w:style>
  <w:style w:type="paragraph" w:customStyle="1" w:styleId="ListParagraph1">
    <w:name w:val="List Paragraph1"/>
    <w:basedOn w:val="Normal"/>
    <w:uiPriority w:val="34"/>
    <w:qFormat/>
    <w:rsid w:val="00F96F8E"/>
    <w:pPr>
      <w:widowControl w:val="0"/>
      <w:ind w:firstLineChars="200" w:firstLine="420"/>
      <w:jc w:val="both"/>
    </w:pPr>
    <w:rPr>
      <w:rFonts w:ascii="Calibri" w:hAnsi="Calibri"/>
      <w:kern w:val="2"/>
      <w:sz w:val="21"/>
      <w:szCs w:val="22"/>
      <w:lang w:eastAsia="zh-CN"/>
    </w:rPr>
  </w:style>
  <w:style w:type="paragraph" w:customStyle="1" w:styleId="figure">
    <w:name w:val="figure"/>
    <w:basedOn w:val="Text"/>
    <w:qFormat/>
    <w:rsid w:val="00F96F8E"/>
    <w:pPr>
      <w:jc w:val="center"/>
    </w:pPr>
  </w:style>
  <w:style w:type="paragraph" w:customStyle="1" w:styleId="Textfixedspace">
    <w:name w:val="Text_fixed_space"/>
    <w:basedOn w:val="Normal"/>
    <w:qFormat/>
    <w:rsid w:val="00AC526D"/>
    <w:pPr>
      <w:tabs>
        <w:tab w:val="decimal" w:pos="0"/>
      </w:tabs>
      <w:autoSpaceDE w:val="0"/>
      <w:autoSpaceDN w:val="0"/>
      <w:adjustRightInd w:val="0"/>
      <w:spacing w:after="0" w:line="260" w:lineRule="exact"/>
      <w:ind w:firstLine="288"/>
      <w:jc w:val="both"/>
    </w:pPr>
    <w:rPr>
      <w:rFonts w:eastAsia="Times New Roman"/>
      <w:lang w:eastAsia="zh-CN"/>
    </w:rPr>
  </w:style>
  <w:style w:type="paragraph" w:customStyle="1" w:styleId="ListParagraph11">
    <w:name w:val="List Paragraph11"/>
    <w:basedOn w:val="Normal"/>
    <w:uiPriority w:val="34"/>
    <w:qFormat/>
    <w:rsid w:val="00F96F8E"/>
    <w:pPr>
      <w:ind w:left="720"/>
      <w:contextualSpacing/>
    </w:pPr>
    <w:rPr>
      <w:rFonts w:ascii="Calibri" w:hAnsi="Calibri"/>
      <w:sz w:val="22"/>
      <w:szCs w:val="22"/>
      <w:lang w:eastAsia="zh-CN"/>
    </w:rPr>
  </w:style>
  <w:style w:type="character" w:customStyle="1" w:styleId="MemberType">
    <w:name w:val="MemberType"/>
    <w:rsid w:val="00F96F8E"/>
    <w:rPr>
      <w:rFonts w:ascii="Times New Roman" w:hAnsi="Times New Roman" w:cs="Times New Roman"/>
      <w:i/>
      <w:iCs/>
      <w:sz w:val="22"/>
      <w:szCs w:val="22"/>
    </w:rPr>
  </w:style>
  <w:style w:type="character" w:customStyle="1" w:styleId="A5">
    <w:name w:val="A5"/>
    <w:rsid w:val="00F96F8E"/>
    <w:rPr>
      <w:color w:val="00529F"/>
      <w:sz w:val="20"/>
      <w:szCs w:val="20"/>
    </w:rPr>
  </w:style>
  <w:style w:type="character" w:customStyle="1" w:styleId="BalloonTextChar">
    <w:name w:val="Balloon Text Char"/>
    <w:link w:val="BalloonText"/>
    <w:rsid w:val="00F96F8E"/>
    <w:rPr>
      <w:rFonts w:ascii="Tahoma" w:hAnsi="Tahoma" w:cs="Tahoma"/>
      <w:sz w:val="16"/>
      <w:szCs w:val="16"/>
    </w:rPr>
  </w:style>
  <w:style w:type="character" w:customStyle="1" w:styleId="PlaceholderText1">
    <w:name w:val="Placeholder Text1"/>
    <w:uiPriority w:val="99"/>
    <w:semiHidden/>
    <w:rsid w:val="00F96F8E"/>
    <w:rPr>
      <w:color w:val="808080"/>
    </w:rPr>
  </w:style>
  <w:style w:type="character" w:customStyle="1" w:styleId="BodyText1">
    <w:name w:val="Body Text1"/>
    <w:uiPriority w:val="99"/>
    <w:rsid w:val="00F96F8E"/>
    <w:rPr>
      <w:rFonts w:ascii="Verdana" w:hAnsi="Verdana" w:cs="Verdana"/>
      <w:color w:val="000000"/>
      <w:sz w:val="22"/>
      <w:szCs w:val="22"/>
    </w:rPr>
  </w:style>
  <w:style w:type="character" w:customStyle="1" w:styleId="bodytype">
    <w:name w:val="body type"/>
    <w:uiPriority w:val="99"/>
    <w:rsid w:val="00F96F8E"/>
    <w:rPr>
      <w:rFonts w:ascii="Formata-Regular" w:hAnsi="Formata-Regular" w:cs="Formata-Regular"/>
      <w:color w:val="000000"/>
      <w:sz w:val="22"/>
      <w:szCs w:val="22"/>
    </w:rPr>
  </w:style>
  <w:style w:type="character" w:customStyle="1" w:styleId="Heading1Char">
    <w:name w:val="Heading 1 Char"/>
    <w:link w:val="Heading1"/>
    <w:uiPriority w:val="9"/>
    <w:rsid w:val="00F96F8E"/>
    <w:rPr>
      <w:smallCaps/>
      <w:kern w:val="28"/>
    </w:rPr>
  </w:style>
  <w:style w:type="character" w:customStyle="1" w:styleId="ReferenceHeadChar">
    <w:name w:val="Reference Head Char"/>
    <w:link w:val="ReferenceHead"/>
    <w:rsid w:val="00F96F8E"/>
    <w:rPr>
      <w:smallCaps/>
      <w:kern w:val="28"/>
    </w:rPr>
  </w:style>
  <w:style w:type="character" w:customStyle="1" w:styleId="Style1Char">
    <w:name w:val="Style1 Char"/>
    <w:link w:val="Style1"/>
    <w:rsid w:val="00F96F8E"/>
    <w:rPr>
      <w:smallCaps/>
      <w:kern w:val="28"/>
    </w:rPr>
  </w:style>
  <w:style w:type="character" w:customStyle="1" w:styleId="BodyText2">
    <w:name w:val="Body Text2"/>
    <w:uiPriority w:val="99"/>
    <w:rsid w:val="00F96F8E"/>
    <w:rPr>
      <w:rFonts w:ascii="Verdana" w:hAnsi="Verdana" w:cs="Verdana"/>
      <w:color w:val="000000"/>
      <w:sz w:val="22"/>
      <w:szCs w:val="22"/>
    </w:rPr>
  </w:style>
  <w:style w:type="character" w:customStyle="1" w:styleId="Heading2Char">
    <w:name w:val="Heading 2 Char"/>
    <w:link w:val="Heading2"/>
    <w:uiPriority w:val="9"/>
    <w:rsid w:val="00F96F8E"/>
    <w:rPr>
      <w:i/>
      <w:iCs/>
    </w:rPr>
  </w:style>
  <w:style w:type="character" w:customStyle="1" w:styleId="TextL-MAGChar">
    <w:name w:val="Text L-MAG Char"/>
    <w:link w:val="TextL-MAG"/>
    <w:rsid w:val="00F96F8E"/>
    <w:rPr>
      <w:rFonts w:ascii="Arial" w:eastAsia="MS Mincho" w:hAnsi="Arial"/>
      <w:sz w:val="18"/>
      <w:szCs w:val="22"/>
      <w:lang w:eastAsia="ja-JP"/>
    </w:rPr>
  </w:style>
  <w:style w:type="character" w:customStyle="1" w:styleId="FooterChar">
    <w:name w:val="Footer Char"/>
    <w:basedOn w:val="DefaultParagraphFont"/>
    <w:link w:val="Footer"/>
    <w:uiPriority w:val="99"/>
    <w:rsid w:val="00F96F8E"/>
  </w:style>
  <w:style w:type="character" w:customStyle="1" w:styleId="FootnoteTextChar">
    <w:name w:val="Footnote Text Char"/>
    <w:link w:val="FootnoteText"/>
    <w:semiHidden/>
    <w:rsid w:val="00F96F8E"/>
    <w:rPr>
      <w:sz w:val="16"/>
      <w:szCs w:val="16"/>
    </w:rPr>
  </w:style>
  <w:style w:type="character" w:customStyle="1" w:styleId="BodyTextIndentChar">
    <w:name w:val="Body Text Indent Char"/>
    <w:link w:val="BodyTextIndent"/>
    <w:rsid w:val="00F96F8E"/>
    <w:rPr>
      <w:szCs w:val="24"/>
    </w:rPr>
  </w:style>
  <w:style w:type="character" w:customStyle="1" w:styleId="EndnoteTextChar">
    <w:name w:val="Endnote Text Char"/>
    <w:link w:val="EndnoteText"/>
    <w:uiPriority w:val="99"/>
    <w:rsid w:val="0042209C"/>
    <w:rPr>
      <w:kern w:val="2"/>
      <w:sz w:val="16"/>
      <w:szCs w:val="22"/>
    </w:rPr>
  </w:style>
  <w:style w:type="character" w:customStyle="1" w:styleId="apple-converted-space">
    <w:name w:val="apple-converted-space"/>
    <w:basedOn w:val="DefaultParagraphFont"/>
    <w:rsid w:val="00F96F8E"/>
  </w:style>
  <w:style w:type="character" w:customStyle="1" w:styleId="CommentTextChar">
    <w:name w:val="Comment Text Char"/>
    <w:link w:val="CommentText"/>
    <w:uiPriority w:val="99"/>
    <w:rsid w:val="00F96F8E"/>
    <w:rPr>
      <w:rFonts w:ascii="Calibri" w:hAnsi="Calibri"/>
      <w:kern w:val="2"/>
      <w:lang w:eastAsia="zh-CN"/>
    </w:rPr>
  </w:style>
  <w:style w:type="character" w:customStyle="1" w:styleId="CommentSubjectChar">
    <w:name w:val="Comment Subject Char"/>
    <w:link w:val="CommentSubject"/>
    <w:rsid w:val="00F96F8E"/>
    <w:rPr>
      <w:rFonts w:ascii="Calibri" w:hAnsi="Calibri"/>
      <w:b/>
      <w:bCs/>
      <w:kern w:val="2"/>
      <w:lang w:eastAsia="zh-CN"/>
    </w:rPr>
  </w:style>
  <w:style w:type="character" w:customStyle="1" w:styleId="BodyTextChar">
    <w:name w:val="Body Text Char"/>
    <w:basedOn w:val="DefaultParagraphFont"/>
    <w:link w:val="BodyText"/>
    <w:semiHidden/>
    <w:rsid w:val="00F96F8E"/>
  </w:style>
  <w:style w:type="character" w:customStyle="1" w:styleId="BodyTextFirstIndentChar">
    <w:name w:val="Body Text First Indent Char"/>
    <w:basedOn w:val="BodyTextChar"/>
    <w:link w:val="BodyTextFirstIndent"/>
    <w:rsid w:val="00F96F8E"/>
  </w:style>
  <w:style w:type="paragraph" w:styleId="Revision">
    <w:name w:val="Revision"/>
    <w:hidden/>
    <w:uiPriority w:val="99"/>
    <w:semiHidden/>
    <w:rsid w:val="00335FBC"/>
    <w:rPr>
      <w:lang w:eastAsia="en-US"/>
    </w:rPr>
  </w:style>
  <w:style w:type="table" w:styleId="TableGrid">
    <w:name w:val="Table Grid"/>
    <w:basedOn w:val="TableNormal"/>
    <w:uiPriority w:val="99"/>
    <w:rsid w:val="00903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ed">
    <w:name w:val="Centered"/>
    <w:basedOn w:val="Textfixedspace"/>
    <w:qFormat/>
    <w:rsid w:val="00EC0699"/>
    <w:pPr>
      <w:jc w:val="center"/>
    </w:pPr>
    <w:rPr>
      <w:sz w:val="16"/>
      <w:szCs w:val="16"/>
    </w:rPr>
  </w:style>
  <w:style w:type="paragraph" w:customStyle="1" w:styleId="tabletext">
    <w:name w:val="table_text"/>
    <w:basedOn w:val="Normal"/>
    <w:qFormat/>
    <w:rsid w:val="00EC0699"/>
    <w:pPr>
      <w:spacing w:before="20" w:after="20" w:line="220" w:lineRule="exact"/>
      <w:jc w:val="center"/>
    </w:pPr>
    <w:rPr>
      <w:sz w:val="16"/>
      <w:szCs w:val="16"/>
    </w:rPr>
  </w:style>
  <w:style w:type="character" w:customStyle="1" w:styleId="label">
    <w:name w:val="label"/>
    <w:basedOn w:val="DefaultParagraphFont"/>
    <w:rsid w:val="000B5468"/>
  </w:style>
  <w:style w:type="character" w:customStyle="1" w:styleId="databold">
    <w:name w:val="data_bold"/>
    <w:basedOn w:val="DefaultParagraphFont"/>
    <w:rsid w:val="000B5468"/>
  </w:style>
  <w:style w:type="character" w:customStyle="1" w:styleId="HeaderChar">
    <w:name w:val="Header Char"/>
    <w:basedOn w:val="DefaultParagraphFont"/>
    <w:link w:val="Header"/>
    <w:uiPriority w:val="99"/>
    <w:rsid w:val="00041AB1"/>
    <w:rPr>
      <w:lang w:eastAsia="en-US"/>
    </w:rPr>
  </w:style>
  <w:style w:type="character" w:styleId="PlaceholderText">
    <w:name w:val="Placeholder Text"/>
    <w:basedOn w:val="DefaultParagraphFont"/>
    <w:uiPriority w:val="99"/>
    <w:semiHidden/>
    <w:rsid w:val="00DB6B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44764">
      <w:bodyDiv w:val="1"/>
      <w:marLeft w:val="0"/>
      <w:marRight w:val="0"/>
      <w:marTop w:val="0"/>
      <w:marBottom w:val="0"/>
      <w:divBdr>
        <w:top w:val="none" w:sz="0" w:space="0" w:color="auto"/>
        <w:left w:val="none" w:sz="0" w:space="0" w:color="auto"/>
        <w:bottom w:val="none" w:sz="0" w:space="0" w:color="auto"/>
        <w:right w:val="none" w:sz="0" w:space="0" w:color="auto"/>
      </w:divBdr>
    </w:div>
    <w:div w:id="80496796">
      <w:bodyDiv w:val="1"/>
      <w:marLeft w:val="0"/>
      <w:marRight w:val="0"/>
      <w:marTop w:val="0"/>
      <w:marBottom w:val="0"/>
      <w:divBdr>
        <w:top w:val="none" w:sz="0" w:space="0" w:color="auto"/>
        <w:left w:val="none" w:sz="0" w:space="0" w:color="auto"/>
        <w:bottom w:val="none" w:sz="0" w:space="0" w:color="auto"/>
        <w:right w:val="none" w:sz="0" w:space="0" w:color="auto"/>
      </w:divBdr>
    </w:div>
    <w:div w:id="115295162">
      <w:bodyDiv w:val="1"/>
      <w:marLeft w:val="0"/>
      <w:marRight w:val="0"/>
      <w:marTop w:val="0"/>
      <w:marBottom w:val="0"/>
      <w:divBdr>
        <w:top w:val="none" w:sz="0" w:space="0" w:color="auto"/>
        <w:left w:val="none" w:sz="0" w:space="0" w:color="auto"/>
        <w:bottom w:val="none" w:sz="0" w:space="0" w:color="auto"/>
        <w:right w:val="none" w:sz="0" w:space="0" w:color="auto"/>
      </w:divBdr>
    </w:div>
    <w:div w:id="147674754">
      <w:bodyDiv w:val="1"/>
      <w:marLeft w:val="0"/>
      <w:marRight w:val="0"/>
      <w:marTop w:val="0"/>
      <w:marBottom w:val="0"/>
      <w:divBdr>
        <w:top w:val="none" w:sz="0" w:space="0" w:color="auto"/>
        <w:left w:val="none" w:sz="0" w:space="0" w:color="auto"/>
        <w:bottom w:val="none" w:sz="0" w:space="0" w:color="auto"/>
        <w:right w:val="none" w:sz="0" w:space="0" w:color="auto"/>
      </w:divBdr>
    </w:div>
    <w:div w:id="156532098">
      <w:bodyDiv w:val="1"/>
      <w:marLeft w:val="0"/>
      <w:marRight w:val="0"/>
      <w:marTop w:val="0"/>
      <w:marBottom w:val="0"/>
      <w:divBdr>
        <w:top w:val="none" w:sz="0" w:space="0" w:color="auto"/>
        <w:left w:val="none" w:sz="0" w:space="0" w:color="auto"/>
        <w:bottom w:val="none" w:sz="0" w:space="0" w:color="auto"/>
        <w:right w:val="none" w:sz="0" w:space="0" w:color="auto"/>
      </w:divBdr>
    </w:div>
    <w:div w:id="215118836">
      <w:bodyDiv w:val="1"/>
      <w:marLeft w:val="0"/>
      <w:marRight w:val="0"/>
      <w:marTop w:val="0"/>
      <w:marBottom w:val="0"/>
      <w:divBdr>
        <w:top w:val="none" w:sz="0" w:space="0" w:color="auto"/>
        <w:left w:val="none" w:sz="0" w:space="0" w:color="auto"/>
        <w:bottom w:val="none" w:sz="0" w:space="0" w:color="auto"/>
        <w:right w:val="none" w:sz="0" w:space="0" w:color="auto"/>
      </w:divBdr>
    </w:div>
    <w:div w:id="237443305">
      <w:bodyDiv w:val="1"/>
      <w:marLeft w:val="0"/>
      <w:marRight w:val="0"/>
      <w:marTop w:val="0"/>
      <w:marBottom w:val="0"/>
      <w:divBdr>
        <w:top w:val="none" w:sz="0" w:space="0" w:color="auto"/>
        <w:left w:val="none" w:sz="0" w:space="0" w:color="auto"/>
        <w:bottom w:val="none" w:sz="0" w:space="0" w:color="auto"/>
        <w:right w:val="none" w:sz="0" w:space="0" w:color="auto"/>
      </w:divBdr>
    </w:div>
    <w:div w:id="301496902">
      <w:bodyDiv w:val="1"/>
      <w:marLeft w:val="0"/>
      <w:marRight w:val="0"/>
      <w:marTop w:val="0"/>
      <w:marBottom w:val="0"/>
      <w:divBdr>
        <w:top w:val="none" w:sz="0" w:space="0" w:color="auto"/>
        <w:left w:val="none" w:sz="0" w:space="0" w:color="auto"/>
        <w:bottom w:val="none" w:sz="0" w:space="0" w:color="auto"/>
        <w:right w:val="none" w:sz="0" w:space="0" w:color="auto"/>
      </w:divBdr>
    </w:div>
    <w:div w:id="425424944">
      <w:bodyDiv w:val="1"/>
      <w:marLeft w:val="0"/>
      <w:marRight w:val="0"/>
      <w:marTop w:val="0"/>
      <w:marBottom w:val="0"/>
      <w:divBdr>
        <w:top w:val="none" w:sz="0" w:space="0" w:color="auto"/>
        <w:left w:val="none" w:sz="0" w:space="0" w:color="auto"/>
        <w:bottom w:val="none" w:sz="0" w:space="0" w:color="auto"/>
        <w:right w:val="none" w:sz="0" w:space="0" w:color="auto"/>
      </w:divBdr>
    </w:div>
    <w:div w:id="443964266">
      <w:bodyDiv w:val="1"/>
      <w:marLeft w:val="0"/>
      <w:marRight w:val="0"/>
      <w:marTop w:val="0"/>
      <w:marBottom w:val="0"/>
      <w:divBdr>
        <w:top w:val="none" w:sz="0" w:space="0" w:color="auto"/>
        <w:left w:val="none" w:sz="0" w:space="0" w:color="auto"/>
        <w:bottom w:val="none" w:sz="0" w:space="0" w:color="auto"/>
        <w:right w:val="none" w:sz="0" w:space="0" w:color="auto"/>
      </w:divBdr>
    </w:div>
    <w:div w:id="459761872">
      <w:bodyDiv w:val="1"/>
      <w:marLeft w:val="0"/>
      <w:marRight w:val="0"/>
      <w:marTop w:val="0"/>
      <w:marBottom w:val="0"/>
      <w:divBdr>
        <w:top w:val="none" w:sz="0" w:space="0" w:color="auto"/>
        <w:left w:val="none" w:sz="0" w:space="0" w:color="auto"/>
        <w:bottom w:val="none" w:sz="0" w:space="0" w:color="auto"/>
        <w:right w:val="none" w:sz="0" w:space="0" w:color="auto"/>
      </w:divBdr>
      <w:divsChild>
        <w:div w:id="1007101791">
          <w:marLeft w:val="0"/>
          <w:marRight w:val="0"/>
          <w:marTop w:val="0"/>
          <w:marBottom w:val="0"/>
          <w:divBdr>
            <w:top w:val="none" w:sz="0" w:space="0" w:color="auto"/>
            <w:left w:val="none" w:sz="0" w:space="0" w:color="auto"/>
            <w:bottom w:val="none" w:sz="0" w:space="0" w:color="auto"/>
            <w:right w:val="none" w:sz="0" w:space="0" w:color="auto"/>
          </w:divBdr>
        </w:div>
        <w:div w:id="1401517582">
          <w:marLeft w:val="0"/>
          <w:marRight w:val="0"/>
          <w:marTop w:val="0"/>
          <w:marBottom w:val="0"/>
          <w:divBdr>
            <w:top w:val="none" w:sz="0" w:space="0" w:color="auto"/>
            <w:left w:val="none" w:sz="0" w:space="0" w:color="auto"/>
            <w:bottom w:val="none" w:sz="0" w:space="0" w:color="auto"/>
            <w:right w:val="none" w:sz="0" w:space="0" w:color="auto"/>
          </w:divBdr>
          <w:divsChild>
            <w:div w:id="21325376">
              <w:marLeft w:val="0"/>
              <w:marRight w:val="0"/>
              <w:marTop w:val="0"/>
              <w:marBottom w:val="0"/>
              <w:divBdr>
                <w:top w:val="none" w:sz="0" w:space="0" w:color="auto"/>
                <w:left w:val="none" w:sz="0" w:space="0" w:color="auto"/>
                <w:bottom w:val="none" w:sz="0" w:space="0" w:color="auto"/>
                <w:right w:val="none" w:sz="0" w:space="0" w:color="auto"/>
              </w:divBdr>
            </w:div>
          </w:divsChild>
        </w:div>
        <w:div w:id="2088069879">
          <w:marLeft w:val="0"/>
          <w:marRight w:val="0"/>
          <w:marTop w:val="0"/>
          <w:marBottom w:val="0"/>
          <w:divBdr>
            <w:top w:val="none" w:sz="0" w:space="0" w:color="auto"/>
            <w:left w:val="none" w:sz="0" w:space="0" w:color="auto"/>
            <w:bottom w:val="none" w:sz="0" w:space="0" w:color="auto"/>
            <w:right w:val="none" w:sz="0" w:space="0" w:color="auto"/>
          </w:divBdr>
          <w:divsChild>
            <w:div w:id="4504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7758">
      <w:bodyDiv w:val="1"/>
      <w:marLeft w:val="0"/>
      <w:marRight w:val="0"/>
      <w:marTop w:val="0"/>
      <w:marBottom w:val="0"/>
      <w:divBdr>
        <w:top w:val="none" w:sz="0" w:space="0" w:color="auto"/>
        <w:left w:val="none" w:sz="0" w:space="0" w:color="auto"/>
        <w:bottom w:val="none" w:sz="0" w:space="0" w:color="auto"/>
        <w:right w:val="none" w:sz="0" w:space="0" w:color="auto"/>
      </w:divBdr>
    </w:div>
    <w:div w:id="502084870">
      <w:bodyDiv w:val="1"/>
      <w:marLeft w:val="0"/>
      <w:marRight w:val="0"/>
      <w:marTop w:val="0"/>
      <w:marBottom w:val="0"/>
      <w:divBdr>
        <w:top w:val="none" w:sz="0" w:space="0" w:color="auto"/>
        <w:left w:val="none" w:sz="0" w:space="0" w:color="auto"/>
        <w:bottom w:val="none" w:sz="0" w:space="0" w:color="auto"/>
        <w:right w:val="none" w:sz="0" w:space="0" w:color="auto"/>
      </w:divBdr>
    </w:div>
    <w:div w:id="581986624">
      <w:bodyDiv w:val="1"/>
      <w:marLeft w:val="0"/>
      <w:marRight w:val="0"/>
      <w:marTop w:val="0"/>
      <w:marBottom w:val="0"/>
      <w:divBdr>
        <w:top w:val="none" w:sz="0" w:space="0" w:color="auto"/>
        <w:left w:val="none" w:sz="0" w:space="0" w:color="auto"/>
        <w:bottom w:val="none" w:sz="0" w:space="0" w:color="auto"/>
        <w:right w:val="none" w:sz="0" w:space="0" w:color="auto"/>
      </w:divBdr>
    </w:div>
    <w:div w:id="608702014">
      <w:bodyDiv w:val="1"/>
      <w:marLeft w:val="0"/>
      <w:marRight w:val="0"/>
      <w:marTop w:val="0"/>
      <w:marBottom w:val="0"/>
      <w:divBdr>
        <w:top w:val="none" w:sz="0" w:space="0" w:color="auto"/>
        <w:left w:val="none" w:sz="0" w:space="0" w:color="auto"/>
        <w:bottom w:val="none" w:sz="0" w:space="0" w:color="auto"/>
        <w:right w:val="none" w:sz="0" w:space="0" w:color="auto"/>
      </w:divBdr>
    </w:div>
    <w:div w:id="629746387">
      <w:bodyDiv w:val="1"/>
      <w:marLeft w:val="0"/>
      <w:marRight w:val="0"/>
      <w:marTop w:val="0"/>
      <w:marBottom w:val="0"/>
      <w:divBdr>
        <w:top w:val="none" w:sz="0" w:space="0" w:color="auto"/>
        <w:left w:val="none" w:sz="0" w:space="0" w:color="auto"/>
        <w:bottom w:val="none" w:sz="0" w:space="0" w:color="auto"/>
        <w:right w:val="none" w:sz="0" w:space="0" w:color="auto"/>
      </w:divBdr>
      <w:divsChild>
        <w:div w:id="37513267">
          <w:marLeft w:val="0"/>
          <w:marRight w:val="0"/>
          <w:marTop w:val="0"/>
          <w:marBottom w:val="0"/>
          <w:divBdr>
            <w:top w:val="none" w:sz="0" w:space="0" w:color="auto"/>
            <w:left w:val="none" w:sz="0" w:space="0" w:color="auto"/>
            <w:bottom w:val="none" w:sz="0" w:space="0" w:color="auto"/>
            <w:right w:val="none" w:sz="0" w:space="0" w:color="auto"/>
          </w:divBdr>
          <w:divsChild>
            <w:div w:id="218249200">
              <w:marLeft w:val="0"/>
              <w:marRight w:val="0"/>
              <w:marTop w:val="0"/>
              <w:marBottom w:val="0"/>
              <w:divBdr>
                <w:top w:val="none" w:sz="0" w:space="0" w:color="auto"/>
                <w:left w:val="none" w:sz="0" w:space="0" w:color="auto"/>
                <w:bottom w:val="none" w:sz="0" w:space="0" w:color="auto"/>
                <w:right w:val="none" w:sz="0" w:space="0" w:color="auto"/>
              </w:divBdr>
            </w:div>
          </w:divsChild>
        </w:div>
        <w:div w:id="1770075717">
          <w:marLeft w:val="0"/>
          <w:marRight w:val="0"/>
          <w:marTop w:val="0"/>
          <w:marBottom w:val="0"/>
          <w:divBdr>
            <w:top w:val="none" w:sz="0" w:space="0" w:color="auto"/>
            <w:left w:val="none" w:sz="0" w:space="0" w:color="auto"/>
            <w:bottom w:val="none" w:sz="0" w:space="0" w:color="auto"/>
            <w:right w:val="none" w:sz="0" w:space="0" w:color="auto"/>
          </w:divBdr>
        </w:div>
        <w:div w:id="2027360483">
          <w:marLeft w:val="0"/>
          <w:marRight w:val="0"/>
          <w:marTop w:val="0"/>
          <w:marBottom w:val="0"/>
          <w:divBdr>
            <w:top w:val="none" w:sz="0" w:space="0" w:color="auto"/>
            <w:left w:val="none" w:sz="0" w:space="0" w:color="auto"/>
            <w:bottom w:val="none" w:sz="0" w:space="0" w:color="auto"/>
            <w:right w:val="none" w:sz="0" w:space="0" w:color="auto"/>
          </w:divBdr>
          <w:divsChild>
            <w:div w:id="9206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30298">
      <w:bodyDiv w:val="1"/>
      <w:marLeft w:val="0"/>
      <w:marRight w:val="0"/>
      <w:marTop w:val="0"/>
      <w:marBottom w:val="0"/>
      <w:divBdr>
        <w:top w:val="none" w:sz="0" w:space="0" w:color="auto"/>
        <w:left w:val="none" w:sz="0" w:space="0" w:color="auto"/>
        <w:bottom w:val="none" w:sz="0" w:space="0" w:color="auto"/>
        <w:right w:val="none" w:sz="0" w:space="0" w:color="auto"/>
      </w:divBdr>
    </w:div>
    <w:div w:id="675764050">
      <w:bodyDiv w:val="1"/>
      <w:marLeft w:val="0"/>
      <w:marRight w:val="0"/>
      <w:marTop w:val="0"/>
      <w:marBottom w:val="0"/>
      <w:divBdr>
        <w:top w:val="none" w:sz="0" w:space="0" w:color="auto"/>
        <w:left w:val="none" w:sz="0" w:space="0" w:color="auto"/>
        <w:bottom w:val="none" w:sz="0" w:space="0" w:color="auto"/>
        <w:right w:val="none" w:sz="0" w:space="0" w:color="auto"/>
      </w:divBdr>
    </w:div>
    <w:div w:id="702705282">
      <w:bodyDiv w:val="1"/>
      <w:marLeft w:val="0"/>
      <w:marRight w:val="0"/>
      <w:marTop w:val="0"/>
      <w:marBottom w:val="0"/>
      <w:divBdr>
        <w:top w:val="none" w:sz="0" w:space="0" w:color="auto"/>
        <w:left w:val="none" w:sz="0" w:space="0" w:color="auto"/>
        <w:bottom w:val="none" w:sz="0" w:space="0" w:color="auto"/>
        <w:right w:val="none" w:sz="0" w:space="0" w:color="auto"/>
      </w:divBdr>
    </w:div>
    <w:div w:id="743645259">
      <w:bodyDiv w:val="1"/>
      <w:marLeft w:val="0"/>
      <w:marRight w:val="0"/>
      <w:marTop w:val="0"/>
      <w:marBottom w:val="0"/>
      <w:divBdr>
        <w:top w:val="none" w:sz="0" w:space="0" w:color="auto"/>
        <w:left w:val="none" w:sz="0" w:space="0" w:color="auto"/>
        <w:bottom w:val="none" w:sz="0" w:space="0" w:color="auto"/>
        <w:right w:val="none" w:sz="0" w:space="0" w:color="auto"/>
      </w:divBdr>
    </w:div>
    <w:div w:id="788665221">
      <w:bodyDiv w:val="1"/>
      <w:marLeft w:val="0"/>
      <w:marRight w:val="0"/>
      <w:marTop w:val="0"/>
      <w:marBottom w:val="0"/>
      <w:divBdr>
        <w:top w:val="none" w:sz="0" w:space="0" w:color="auto"/>
        <w:left w:val="none" w:sz="0" w:space="0" w:color="auto"/>
        <w:bottom w:val="none" w:sz="0" w:space="0" w:color="auto"/>
        <w:right w:val="none" w:sz="0" w:space="0" w:color="auto"/>
      </w:divBdr>
    </w:div>
    <w:div w:id="942566345">
      <w:bodyDiv w:val="1"/>
      <w:marLeft w:val="0"/>
      <w:marRight w:val="0"/>
      <w:marTop w:val="0"/>
      <w:marBottom w:val="0"/>
      <w:divBdr>
        <w:top w:val="none" w:sz="0" w:space="0" w:color="auto"/>
        <w:left w:val="none" w:sz="0" w:space="0" w:color="auto"/>
        <w:bottom w:val="none" w:sz="0" w:space="0" w:color="auto"/>
        <w:right w:val="none" w:sz="0" w:space="0" w:color="auto"/>
      </w:divBdr>
    </w:div>
    <w:div w:id="966468337">
      <w:bodyDiv w:val="1"/>
      <w:marLeft w:val="0"/>
      <w:marRight w:val="0"/>
      <w:marTop w:val="0"/>
      <w:marBottom w:val="0"/>
      <w:divBdr>
        <w:top w:val="none" w:sz="0" w:space="0" w:color="auto"/>
        <w:left w:val="none" w:sz="0" w:space="0" w:color="auto"/>
        <w:bottom w:val="none" w:sz="0" w:space="0" w:color="auto"/>
        <w:right w:val="none" w:sz="0" w:space="0" w:color="auto"/>
      </w:divBdr>
    </w:div>
    <w:div w:id="970091111">
      <w:bodyDiv w:val="1"/>
      <w:marLeft w:val="0"/>
      <w:marRight w:val="0"/>
      <w:marTop w:val="0"/>
      <w:marBottom w:val="0"/>
      <w:divBdr>
        <w:top w:val="none" w:sz="0" w:space="0" w:color="auto"/>
        <w:left w:val="none" w:sz="0" w:space="0" w:color="auto"/>
        <w:bottom w:val="none" w:sz="0" w:space="0" w:color="auto"/>
        <w:right w:val="none" w:sz="0" w:space="0" w:color="auto"/>
      </w:divBdr>
    </w:div>
    <w:div w:id="984168337">
      <w:bodyDiv w:val="1"/>
      <w:marLeft w:val="0"/>
      <w:marRight w:val="0"/>
      <w:marTop w:val="0"/>
      <w:marBottom w:val="0"/>
      <w:divBdr>
        <w:top w:val="none" w:sz="0" w:space="0" w:color="auto"/>
        <w:left w:val="none" w:sz="0" w:space="0" w:color="auto"/>
        <w:bottom w:val="none" w:sz="0" w:space="0" w:color="auto"/>
        <w:right w:val="none" w:sz="0" w:space="0" w:color="auto"/>
      </w:divBdr>
    </w:div>
    <w:div w:id="1032414810">
      <w:bodyDiv w:val="1"/>
      <w:marLeft w:val="0"/>
      <w:marRight w:val="0"/>
      <w:marTop w:val="0"/>
      <w:marBottom w:val="0"/>
      <w:divBdr>
        <w:top w:val="none" w:sz="0" w:space="0" w:color="auto"/>
        <w:left w:val="none" w:sz="0" w:space="0" w:color="auto"/>
        <w:bottom w:val="none" w:sz="0" w:space="0" w:color="auto"/>
        <w:right w:val="none" w:sz="0" w:space="0" w:color="auto"/>
      </w:divBdr>
    </w:div>
    <w:div w:id="1043018550">
      <w:bodyDiv w:val="1"/>
      <w:marLeft w:val="0"/>
      <w:marRight w:val="0"/>
      <w:marTop w:val="0"/>
      <w:marBottom w:val="0"/>
      <w:divBdr>
        <w:top w:val="none" w:sz="0" w:space="0" w:color="auto"/>
        <w:left w:val="none" w:sz="0" w:space="0" w:color="auto"/>
        <w:bottom w:val="none" w:sz="0" w:space="0" w:color="auto"/>
        <w:right w:val="none" w:sz="0" w:space="0" w:color="auto"/>
      </w:divBdr>
    </w:div>
    <w:div w:id="1090085376">
      <w:bodyDiv w:val="1"/>
      <w:marLeft w:val="0"/>
      <w:marRight w:val="0"/>
      <w:marTop w:val="0"/>
      <w:marBottom w:val="0"/>
      <w:divBdr>
        <w:top w:val="none" w:sz="0" w:space="0" w:color="auto"/>
        <w:left w:val="none" w:sz="0" w:space="0" w:color="auto"/>
        <w:bottom w:val="none" w:sz="0" w:space="0" w:color="auto"/>
        <w:right w:val="none" w:sz="0" w:space="0" w:color="auto"/>
      </w:divBdr>
    </w:div>
    <w:div w:id="1163935731">
      <w:bodyDiv w:val="1"/>
      <w:marLeft w:val="0"/>
      <w:marRight w:val="0"/>
      <w:marTop w:val="0"/>
      <w:marBottom w:val="0"/>
      <w:divBdr>
        <w:top w:val="none" w:sz="0" w:space="0" w:color="auto"/>
        <w:left w:val="none" w:sz="0" w:space="0" w:color="auto"/>
        <w:bottom w:val="none" w:sz="0" w:space="0" w:color="auto"/>
        <w:right w:val="none" w:sz="0" w:space="0" w:color="auto"/>
      </w:divBdr>
    </w:div>
    <w:div w:id="1260066926">
      <w:bodyDiv w:val="1"/>
      <w:marLeft w:val="0"/>
      <w:marRight w:val="0"/>
      <w:marTop w:val="0"/>
      <w:marBottom w:val="0"/>
      <w:divBdr>
        <w:top w:val="none" w:sz="0" w:space="0" w:color="auto"/>
        <w:left w:val="none" w:sz="0" w:space="0" w:color="auto"/>
        <w:bottom w:val="none" w:sz="0" w:space="0" w:color="auto"/>
        <w:right w:val="none" w:sz="0" w:space="0" w:color="auto"/>
      </w:divBdr>
    </w:div>
    <w:div w:id="1322275745">
      <w:bodyDiv w:val="1"/>
      <w:marLeft w:val="0"/>
      <w:marRight w:val="0"/>
      <w:marTop w:val="0"/>
      <w:marBottom w:val="0"/>
      <w:divBdr>
        <w:top w:val="none" w:sz="0" w:space="0" w:color="auto"/>
        <w:left w:val="none" w:sz="0" w:space="0" w:color="auto"/>
        <w:bottom w:val="none" w:sz="0" w:space="0" w:color="auto"/>
        <w:right w:val="none" w:sz="0" w:space="0" w:color="auto"/>
      </w:divBdr>
    </w:div>
    <w:div w:id="1512915143">
      <w:bodyDiv w:val="1"/>
      <w:marLeft w:val="0"/>
      <w:marRight w:val="0"/>
      <w:marTop w:val="0"/>
      <w:marBottom w:val="0"/>
      <w:divBdr>
        <w:top w:val="none" w:sz="0" w:space="0" w:color="auto"/>
        <w:left w:val="none" w:sz="0" w:space="0" w:color="auto"/>
        <w:bottom w:val="none" w:sz="0" w:space="0" w:color="auto"/>
        <w:right w:val="none" w:sz="0" w:space="0" w:color="auto"/>
      </w:divBdr>
    </w:div>
    <w:div w:id="1534881557">
      <w:bodyDiv w:val="1"/>
      <w:marLeft w:val="0"/>
      <w:marRight w:val="0"/>
      <w:marTop w:val="0"/>
      <w:marBottom w:val="0"/>
      <w:divBdr>
        <w:top w:val="none" w:sz="0" w:space="0" w:color="auto"/>
        <w:left w:val="none" w:sz="0" w:space="0" w:color="auto"/>
        <w:bottom w:val="none" w:sz="0" w:space="0" w:color="auto"/>
        <w:right w:val="none" w:sz="0" w:space="0" w:color="auto"/>
      </w:divBdr>
    </w:div>
    <w:div w:id="1559709072">
      <w:bodyDiv w:val="1"/>
      <w:marLeft w:val="0"/>
      <w:marRight w:val="0"/>
      <w:marTop w:val="0"/>
      <w:marBottom w:val="0"/>
      <w:divBdr>
        <w:top w:val="none" w:sz="0" w:space="0" w:color="auto"/>
        <w:left w:val="none" w:sz="0" w:space="0" w:color="auto"/>
        <w:bottom w:val="none" w:sz="0" w:space="0" w:color="auto"/>
        <w:right w:val="none" w:sz="0" w:space="0" w:color="auto"/>
      </w:divBdr>
    </w:div>
    <w:div w:id="1615477412">
      <w:bodyDiv w:val="1"/>
      <w:marLeft w:val="0"/>
      <w:marRight w:val="0"/>
      <w:marTop w:val="0"/>
      <w:marBottom w:val="0"/>
      <w:divBdr>
        <w:top w:val="none" w:sz="0" w:space="0" w:color="auto"/>
        <w:left w:val="none" w:sz="0" w:space="0" w:color="auto"/>
        <w:bottom w:val="none" w:sz="0" w:space="0" w:color="auto"/>
        <w:right w:val="none" w:sz="0" w:space="0" w:color="auto"/>
      </w:divBdr>
    </w:div>
    <w:div w:id="1695572430">
      <w:bodyDiv w:val="1"/>
      <w:marLeft w:val="0"/>
      <w:marRight w:val="0"/>
      <w:marTop w:val="0"/>
      <w:marBottom w:val="0"/>
      <w:divBdr>
        <w:top w:val="none" w:sz="0" w:space="0" w:color="auto"/>
        <w:left w:val="none" w:sz="0" w:space="0" w:color="auto"/>
        <w:bottom w:val="none" w:sz="0" w:space="0" w:color="auto"/>
        <w:right w:val="none" w:sz="0" w:space="0" w:color="auto"/>
      </w:divBdr>
    </w:div>
    <w:div w:id="1696073824">
      <w:bodyDiv w:val="1"/>
      <w:marLeft w:val="0"/>
      <w:marRight w:val="0"/>
      <w:marTop w:val="0"/>
      <w:marBottom w:val="0"/>
      <w:divBdr>
        <w:top w:val="none" w:sz="0" w:space="0" w:color="auto"/>
        <w:left w:val="none" w:sz="0" w:space="0" w:color="auto"/>
        <w:bottom w:val="none" w:sz="0" w:space="0" w:color="auto"/>
        <w:right w:val="none" w:sz="0" w:space="0" w:color="auto"/>
      </w:divBdr>
    </w:div>
    <w:div w:id="1742629714">
      <w:bodyDiv w:val="1"/>
      <w:marLeft w:val="0"/>
      <w:marRight w:val="0"/>
      <w:marTop w:val="0"/>
      <w:marBottom w:val="0"/>
      <w:divBdr>
        <w:top w:val="none" w:sz="0" w:space="0" w:color="auto"/>
        <w:left w:val="none" w:sz="0" w:space="0" w:color="auto"/>
        <w:bottom w:val="none" w:sz="0" w:space="0" w:color="auto"/>
        <w:right w:val="none" w:sz="0" w:space="0" w:color="auto"/>
      </w:divBdr>
    </w:div>
    <w:div w:id="1796019542">
      <w:bodyDiv w:val="1"/>
      <w:marLeft w:val="0"/>
      <w:marRight w:val="0"/>
      <w:marTop w:val="0"/>
      <w:marBottom w:val="0"/>
      <w:divBdr>
        <w:top w:val="none" w:sz="0" w:space="0" w:color="auto"/>
        <w:left w:val="none" w:sz="0" w:space="0" w:color="auto"/>
        <w:bottom w:val="none" w:sz="0" w:space="0" w:color="auto"/>
        <w:right w:val="none" w:sz="0" w:space="0" w:color="auto"/>
      </w:divBdr>
    </w:div>
    <w:div w:id="1883059413">
      <w:bodyDiv w:val="1"/>
      <w:marLeft w:val="0"/>
      <w:marRight w:val="0"/>
      <w:marTop w:val="0"/>
      <w:marBottom w:val="0"/>
      <w:divBdr>
        <w:top w:val="none" w:sz="0" w:space="0" w:color="auto"/>
        <w:left w:val="none" w:sz="0" w:space="0" w:color="auto"/>
        <w:bottom w:val="none" w:sz="0" w:space="0" w:color="auto"/>
        <w:right w:val="none" w:sz="0" w:space="0" w:color="auto"/>
      </w:divBdr>
    </w:div>
    <w:div w:id="1906992197">
      <w:bodyDiv w:val="1"/>
      <w:marLeft w:val="0"/>
      <w:marRight w:val="0"/>
      <w:marTop w:val="0"/>
      <w:marBottom w:val="0"/>
      <w:divBdr>
        <w:top w:val="none" w:sz="0" w:space="0" w:color="auto"/>
        <w:left w:val="none" w:sz="0" w:space="0" w:color="auto"/>
        <w:bottom w:val="none" w:sz="0" w:space="0" w:color="auto"/>
        <w:right w:val="none" w:sz="0" w:space="0" w:color="auto"/>
      </w:divBdr>
    </w:div>
    <w:div w:id="1984851335">
      <w:bodyDiv w:val="1"/>
      <w:marLeft w:val="0"/>
      <w:marRight w:val="0"/>
      <w:marTop w:val="0"/>
      <w:marBottom w:val="0"/>
      <w:divBdr>
        <w:top w:val="none" w:sz="0" w:space="0" w:color="auto"/>
        <w:left w:val="none" w:sz="0" w:space="0" w:color="auto"/>
        <w:bottom w:val="none" w:sz="0" w:space="0" w:color="auto"/>
        <w:right w:val="none" w:sz="0" w:space="0" w:color="auto"/>
      </w:divBdr>
    </w:div>
    <w:div w:id="1999456189">
      <w:bodyDiv w:val="1"/>
      <w:marLeft w:val="0"/>
      <w:marRight w:val="0"/>
      <w:marTop w:val="0"/>
      <w:marBottom w:val="0"/>
      <w:divBdr>
        <w:top w:val="none" w:sz="0" w:space="0" w:color="auto"/>
        <w:left w:val="none" w:sz="0" w:space="0" w:color="auto"/>
        <w:bottom w:val="none" w:sz="0" w:space="0" w:color="auto"/>
        <w:right w:val="none" w:sz="0" w:space="0" w:color="auto"/>
      </w:divBdr>
    </w:div>
    <w:div w:id="2095931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jpg"/><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image" Target="media/image19.wmf"/><Relationship Id="rId47" Type="http://schemas.openxmlformats.org/officeDocument/2006/relationships/oleObject" Target="embeddings/oleObject18.bin"/><Relationship Id="rId50" Type="http://schemas.openxmlformats.org/officeDocument/2006/relationships/image" Target="media/image23.wmf"/><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image" Target="media/image18.wmf"/><Relationship Id="rId45" Type="http://schemas.openxmlformats.org/officeDocument/2006/relationships/oleObject" Target="embeddings/oleObject17.bin"/><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oleObject" Target="embeddings/oleObject16.bin"/><Relationship Id="rId48" Type="http://schemas.openxmlformats.org/officeDocument/2006/relationships/image" Target="media/image22.wmf"/><Relationship Id="rId8" Type="http://schemas.openxmlformats.org/officeDocument/2006/relationships/endnotes" Target="endnotes.xml"/><Relationship Id="rId51" Type="http://schemas.openxmlformats.org/officeDocument/2006/relationships/oleObject" Target="embeddings/oleObject20.bin"/><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image" Target="media/image21.wmf"/><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493DCB-1E4B-480D-945C-DFD123436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2000</Words>
  <Characters>11403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Robert Maurer</cp:lastModifiedBy>
  <cp:revision>5</cp:revision>
  <cp:lastPrinted>2016-05-08T01:59:00Z</cp:lastPrinted>
  <dcterms:created xsi:type="dcterms:W3CDTF">2016-07-23T01:21:00Z</dcterms:created>
  <dcterms:modified xsi:type="dcterms:W3CDTF">2016-07-23T01:35:00Z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1033-9.1.0.4480</vt:lpwstr>
  </property>
</Properties>
</file>